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6"/>
          <w:szCs w:val="44"/>
          <w:lang w:val="en-US" w:eastAsia="zh-CN"/>
        </w:rPr>
      </w:pPr>
      <w:r>
        <w:rPr>
          <w:rFonts w:hint="eastAsia"/>
          <w:sz w:val="36"/>
          <w:szCs w:val="44"/>
          <w:lang w:eastAsia="zh-CN"/>
        </w:rPr>
        <w:t>《</w:t>
      </w:r>
      <w:r>
        <w:rPr>
          <w:rFonts w:hint="eastAsia"/>
          <w:sz w:val="36"/>
          <w:szCs w:val="44"/>
        </w:rPr>
        <w:t>核电抗震电缆桥架</w:t>
      </w:r>
      <w:r>
        <w:rPr>
          <w:rFonts w:hint="eastAsia"/>
          <w:sz w:val="36"/>
          <w:szCs w:val="44"/>
          <w:lang w:eastAsia="zh-CN"/>
        </w:rPr>
        <w:t>》</w:t>
      </w:r>
      <w:r>
        <w:rPr>
          <w:rFonts w:hint="eastAsia"/>
          <w:sz w:val="36"/>
          <w:szCs w:val="44"/>
          <w:lang w:val="en-US" w:eastAsia="zh-CN"/>
        </w:rPr>
        <w:t>标准</w:t>
      </w:r>
    </w:p>
    <w:p>
      <w:pPr>
        <w:jc w:val="center"/>
        <w:rPr>
          <w:rFonts w:hint="eastAsia"/>
          <w:sz w:val="36"/>
          <w:szCs w:val="44"/>
          <w:lang w:val="en-US" w:eastAsia="zh-CN"/>
        </w:rPr>
      </w:pPr>
      <w:r>
        <w:rPr>
          <w:rFonts w:hint="eastAsia"/>
          <w:sz w:val="36"/>
          <w:szCs w:val="44"/>
          <w:lang w:val="en-US" w:eastAsia="zh-CN"/>
        </w:rPr>
        <w:t>编制说明</w:t>
      </w:r>
    </w:p>
    <w:p>
      <w:pPr>
        <w:numPr>
          <w:ilvl w:val="0"/>
          <w:numId w:val="1"/>
        </w:numPr>
        <w:ind w:left="0" w:leftChars="0" w:firstLine="0" w:firstLineChars="0"/>
        <w:jc w:val="left"/>
        <w:rPr>
          <w:rFonts w:hint="default"/>
          <w:b/>
          <w:bCs/>
          <w:sz w:val="32"/>
          <w:szCs w:val="40"/>
          <w:lang w:val="en-US" w:eastAsia="zh-CN"/>
        </w:rPr>
      </w:pPr>
      <w:r>
        <w:rPr>
          <w:rFonts w:hint="eastAsia"/>
          <w:b/>
          <w:bCs/>
          <w:sz w:val="32"/>
          <w:szCs w:val="40"/>
          <w:lang w:val="en-US" w:eastAsia="zh-CN"/>
        </w:rPr>
        <w:t>工作简况</w:t>
      </w:r>
    </w:p>
    <w:p>
      <w:pPr>
        <w:numPr>
          <w:ilvl w:val="0"/>
          <w:numId w:val="2"/>
        </w:numPr>
        <w:ind w:left="5" w:leftChars="0" w:hanging="5" w:firstLineChars="0"/>
        <w:jc w:val="left"/>
        <w:rPr>
          <w:rFonts w:hint="default"/>
          <w:b/>
          <w:bCs/>
          <w:sz w:val="28"/>
          <w:szCs w:val="36"/>
          <w:lang w:val="en-US" w:eastAsia="zh-CN"/>
        </w:rPr>
      </w:pPr>
      <w:r>
        <w:rPr>
          <w:rFonts w:hint="eastAsia"/>
          <w:b/>
          <w:bCs/>
          <w:sz w:val="28"/>
          <w:szCs w:val="36"/>
          <w:lang w:val="en-US" w:eastAsia="zh-CN"/>
        </w:rPr>
        <w:t>任务来源</w:t>
      </w:r>
    </w:p>
    <w:p>
      <w:pPr>
        <w:numPr>
          <w:ilvl w:val="0"/>
          <w:numId w:val="0"/>
        </w:numPr>
        <w:ind w:leftChars="0" w:firstLine="560" w:firstLineChars="200"/>
        <w:jc w:val="left"/>
        <w:rPr>
          <w:rFonts w:hint="default"/>
          <w:sz w:val="28"/>
          <w:szCs w:val="36"/>
          <w:lang w:val="en-US" w:eastAsia="zh-CN"/>
        </w:rPr>
      </w:pPr>
      <w:r>
        <w:rPr>
          <w:rFonts w:hint="eastAsia"/>
          <w:sz w:val="28"/>
          <w:szCs w:val="36"/>
          <w:lang w:val="en-US" w:eastAsia="zh-CN"/>
        </w:rPr>
        <w:t>随着我国核电产业的快速发展，用于支撑电缆敷设的桥架也在安全性能方面有了更高要求，核电用的电缆桥架也越来越被企业重视，由于</w:t>
      </w:r>
      <w:r>
        <w:rPr>
          <w:rFonts w:hint="default"/>
          <w:sz w:val="28"/>
          <w:szCs w:val="36"/>
          <w:lang w:val="en-US" w:eastAsia="zh-CN"/>
        </w:rPr>
        <w:t>电缆桥架应用</w:t>
      </w:r>
      <w:r>
        <w:rPr>
          <w:rFonts w:hint="eastAsia"/>
          <w:sz w:val="28"/>
          <w:szCs w:val="36"/>
          <w:lang w:val="en-US" w:eastAsia="zh-CN"/>
        </w:rPr>
        <w:t>范围</w:t>
      </w:r>
      <w:r>
        <w:rPr>
          <w:rFonts w:hint="default"/>
          <w:sz w:val="28"/>
          <w:szCs w:val="36"/>
          <w:lang w:val="en-US" w:eastAsia="zh-CN"/>
        </w:rPr>
        <w:t>广泛，在机械、建筑、轻工、</w:t>
      </w:r>
      <w:r>
        <w:rPr>
          <w:rFonts w:hint="eastAsia"/>
          <w:sz w:val="28"/>
          <w:szCs w:val="36"/>
          <w:lang w:val="en-US" w:eastAsia="zh-CN"/>
        </w:rPr>
        <w:t>消防</w:t>
      </w:r>
      <w:r>
        <w:rPr>
          <w:rFonts w:hint="default"/>
          <w:sz w:val="28"/>
          <w:szCs w:val="36"/>
          <w:lang w:val="en-US" w:eastAsia="zh-CN"/>
        </w:rPr>
        <w:t>、</w:t>
      </w:r>
      <w:r>
        <w:rPr>
          <w:rFonts w:hint="eastAsia"/>
          <w:sz w:val="28"/>
          <w:szCs w:val="36"/>
          <w:lang w:val="en-US" w:eastAsia="zh-CN"/>
        </w:rPr>
        <w:t>煤炭</w:t>
      </w:r>
      <w:r>
        <w:rPr>
          <w:rFonts w:hint="default"/>
          <w:sz w:val="28"/>
          <w:szCs w:val="36"/>
          <w:lang w:val="en-US" w:eastAsia="zh-CN"/>
        </w:rPr>
        <w:t>等</w:t>
      </w:r>
      <w:r>
        <w:rPr>
          <w:rFonts w:hint="eastAsia"/>
          <w:sz w:val="28"/>
          <w:szCs w:val="36"/>
          <w:lang w:val="en-US" w:eastAsia="zh-CN"/>
        </w:rPr>
        <w:t>各个</w:t>
      </w:r>
      <w:r>
        <w:rPr>
          <w:rFonts w:hint="default"/>
          <w:sz w:val="28"/>
          <w:szCs w:val="36"/>
          <w:lang w:val="en-US" w:eastAsia="zh-CN"/>
        </w:rPr>
        <w:t>行业中均有体系，</w:t>
      </w:r>
      <w:r>
        <w:rPr>
          <w:rFonts w:hint="eastAsia"/>
          <w:sz w:val="28"/>
          <w:szCs w:val="36"/>
          <w:lang w:val="en-US" w:eastAsia="zh-CN"/>
        </w:rPr>
        <w:t>而</w:t>
      </w:r>
      <w:r>
        <w:rPr>
          <w:rFonts w:hint="default"/>
          <w:sz w:val="28"/>
          <w:szCs w:val="36"/>
          <w:lang w:val="en-US" w:eastAsia="zh-CN"/>
        </w:rPr>
        <w:t>核电</w:t>
      </w:r>
      <w:r>
        <w:rPr>
          <w:rFonts w:hint="eastAsia"/>
          <w:sz w:val="28"/>
          <w:szCs w:val="36"/>
          <w:lang w:val="en-US" w:eastAsia="zh-CN"/>
        </w:rPr>
        <w:t>方面也需要有相应的体系来规范和完善应用</w:t>
      </w:r>
      <w:r>
        <w:rPr>
          <w:rFonts w:hint="default"/>
          <w:sz w:val="28"/>
          <w:szCs w:val="36"/>
          <w:lang w:val="en-US" w:eastAsia="zh-CN"/>
        </w:rPr>
        <w:t>。</w:t>
      </w:r>
    </w:p>
    <w:p>
      <w:pPr>
        <w:numPr>
          <w:ilvl w:val="0"/>
          <w:numId w:val="0"/>
        </w:numPr>
        <w:ind w:leftChars="0" w:firstLine="560" w:firstLineChars="200"/>
        <w:jc w:val="left"/>
        <w:rPr>
          <w:rFonts w:hint="eastAsia"/>
          <w:sz w:val="28"/>
          <w:szCs w:val="36"/>
          <w:lang w:val="en-US" w:eastAsia="zh-CN"/>
        </w:rPr>
      </w:pPr>
      <w:r>
        <w:rPr>
          <w:rFonts w:hint="eastAsia"/>
          <w:sz w:val="28"/>
          <w:szCs w:val="36"/>
          <w:lang w:val="en-US" w:eastAsia="zh-CN"/>
        </w:rPr>
        <w:t>2019年7月中国核能行业协会发布了“关于征集 2019 年度中国核能行业协会团体标准项目的通知”，为规范行业发展和技术提升，镇江市电器设备厂有限公司提交立项申请，2019年11月底经过中国核能行业协会团体标准专家组评审，立项通过协会审查，正式启动该标准的研究和制定工作。</w:t>
      </w:r>
    </w:p>
    <w:p>
      <w:pPr>
        <w:numPr>
          <w:ilvl w:val="0"/>
          <w:numId w:val="2"/>
        </w:numPr>
        <w:ind w:left="5" w:leftChars="0" w:hanging="5" w:firstLineChars="0"/>
        <w:jc w:val="left"/>
        <w:rPr>
          <w:rFonts w:hint="default"/>
          <w:b/>
          <w:bCs/>
          <w:sz w:val="28"/>
          <w:szCs w:val="36"/>
          <w:lang w:val="en-US" w:eastAsia="zh-CN"/>
        </w:rPr>
      </w:pPr>
      <w:r>
        <w:rPr>
          <w:rFonts w:hint="eastAsia"/>
          <w:b/>
          <w:bCs/>
          <w:sz w:val="28"/>
          <w:szCs w:val="36"/>
          <w:lang w:val="en-US" w:eastAsia="zh-CN"/>
        </w:rPr>
        <w:t>起草单位和人员</w:t>
      </w:r>
    </w:p>
    <w:p>
      <w:pPr>
        <w:numPr>
          <w:ilvl w:val="0"/>
          <w:numId w:val="0"/>
        </w:numPr>
        <w:ind w:firstLine="560" w:firstLineChars="200"/>
        <w:jc w:val="left"/>
        <w:rPr>
          <w:rFonts w:hint="eastAsia"/>
          <w:sz w:val="28"/>
          <w:szCs w:val="36"/>
          <w:lang w:val="en-US" w:eastAsia="zh-CN"/>
        </w:rPr>
      </w:pPr>
      <w:r>
        <w:rPr>
          <w:rFonts w:hint="eastAsia"/>
          <w:sz w:val="28"/>
          <w:szCs w:val="36"/>
          <w:lang w:val="en-US" w:eastAsia="zh-CN"/>
        </w:rPr>
        <w:t>该标准主要起草单位镇江市电器设备厂有限公司、中国核电工程有限公司、上海核工程研究设计院有限公司、中广核工程有限公司、深圳中广核工程设计有限公司。</w:t>
      </w:r>
    </w:p>
    <w:p>
      <w:pPr>
        <w:numPr>
          <w:ilvl w:val="0"/>
          <w:numId w:val="0"/>
        </w:numPr>
        <w:ind w:leftChars="0" w:firstLine="560" w:firstLineChars="200"/>
        <w:jc w:val="left"/>
        <w:rPr>
          <w:rFonts w:hint="default"/>
          <w:sz w:val="28"/>
          <w:szCs w:val="36"/>
          <w:lang w:val="en-US" w:eastAsia="zh-CN"/>
        </w:rPr>
      </w:pPr>
      <w:r>
        <w:rPr>
          <w:rFonts w:hint="eastAsia"/>
          <w:sz w:val="28"/>
          <w:szCs w:val="36"/>
          <w:lang w:val="en-US" w:eastAsia="zh-CN"/>
        </w:rPr>
        <w:t>该标准负责起草单位：镇江市电器设备厂有限公司</w:t>
      </w:r>
    </w:p>
    <w:p>
      <w:pPr>
        <w:numPr>
          <w:ilvl w:val="0"/>
          <w:numId w:val="0"/>
        </w:numPr>
        <w:ind w:leftChars="0" w:firstLine="560" w:firstLineChars="200"/>
        <w:jc w:val="left"/>
        <w:rPr>
          <w:rFonts w:hint="eastAsia"/>
          <w:sz w:val="28"/>
          <w:szCs w:val="36"/>
          <w:lang w:val="en-US" w:eastAsia="zh-CN"/>
        </w:rPr>
      </w:pPr>
      <w:r>
        <w:rPr>
          <w:rFonts w:hint="eastAsia"/>
          <w:sz w:val="28"/>
          <w:szCs w:val="36"/>
          <w:lang w:val="en-US" w:eastAsia="zh-CN"/>
        </w:rPr>
        <w:t>该标准参加起草单位：中国核电工程有限公司、上海核工程研究设计院有限公司、中广核工程有限公司、深圳中广核工程设计有限公司</w:t>
      </w:r>
    </w:p>
    <w:p>
      <w:pPr>
        <w:numPr>
          <w:ilvl w:val="0"/>
          <w:numId w:val="2"/>
        </w:numPr>
        <w:ind w:left="5" w:leftChars="0" w:hanging="5" w:firstLineChars="0"/>
        <w:jc w:val="left"/>
        <w:rPr>
          <w:rFonts w:hint="default"/>
          <w:b/>
          <w:bCs/>
          <w:sz w:val="28"/>
          <w:szCs w:val="36"/>
          <w:lang w:val="en-US" w:eastAsia="zh-CN"/>
        </w:rPr>
      </w:pPr>
      <w:r>
        <w:rPr>
          <w:rFonts w:hint="eastAsia"/>
          <w:b/>
          <w:bCs/>
          <w:sz w:val="28"/>
          <w:szCs w:val="36"/>
          <w:lang w:val="en-US" w:eastAsia="zh-CN"/>
        </w:rPr>
        <w:t>标准编制过程</w:t>
      </w:r>
    </w:p>
    <w:p>
      <w:pPr>
        <w:numPr>
          <w:ilvl w:val="0"/>
          <w:numId w:val="0"/>
        </w:numPr>
        <w:ind w:leftChars="0" w:firstLine="560"/>
        <w:jc w:val="left"/>
        <w:rPr>
          <w:rFonts w:hint="eastAsia"/>
          <w:b/>
          <w:bCs/>
          <w:sz w:val="28"/>
          <w:szCs w:val="36"/>
          <w:lang w:val="en-US" w:eastAsia="zh-CN"/>
        </w:rPr>
      </w:pPr>
      <w:r>
        <w:rPr>
          <w:rFonts w:hint="eastAsia"/>
          <w:b/>
          <w:bCs/>
          <w:sz w:val="28"/>
          <w:szCs w:val="36"/>
          <w:lang w:val="en-US" w:eastAsia="zh-CN"/>
        </w:rPr>
        <w:t xml:space="preserve"> </w:t>
      </w:r>
      <w:r>
        <w:rPr>
          <w:rFonts w:hint="eastAsia"/>
          <w:b w:val="0"/>
          <w:bCs w:val="0"/>
          <w:sz w:val="28"/>
          <w:szCs w:val="36"/>
          <w:lang w:val="en-US" w:eastAsia="zh-CN"/>
        </w:rPr>
        <w:t>根据标准制定工作的要求，</w:t>
      </w:r>
      <w:r>
        <w:rPr>
          <w:rFonts w:hint="eastAsia"/>
          <w:sz w:val="28"/>
          <w:szCs w:val="36"/>
          <w:lang w:val="en-US" w:eastAsia="zh-CN"/>
        </w:rPr>
        <w:t>镇江市电器设备厂有限公司在2020年1月积极组织筹备和征集标准起草单位。经过近两个月的征集、邀请和筛选，并最终确定了标准起草工作组的成员单位，成立了标准起草工作组。</w:t>
      </w:r>
    </w:p>
    <w:p>
      <w:pPr>
        <w:numPr>
          <w:ilvl w:val="0"/>
          <w:numId w:val="0"/>
        </w:numPr>
        <w:ind w:leftChars="0" w:firstLine="560"/>
        <w:jc w:val="left"/>
        <w:rPr>
          <w:rFonts w:hint="default"/>
          <w:sz w:val="28"/>
          <w:szCs w:val="36"/>
          <w:lang w:val="en-US" w:eastAsia="zh-CN"/>
        </w:rPr>
      </w:pPr>
      <w:r>
        <w:rPr>
          <w:rFonts w:hint="eastAsia"/>
          <w:sz w:val="28"/>
          <w:szCs w:val="36"/>
          <w:lang w:val="en-US" w:eastAsia="zh-CN"/>
        </w:rPr>
        <w:t>根据任务要求，镇江市电器设备厂有限公司与标准起草工作组制定了标准编制工作计划、编写大纲，明确任务及各阶段进度时间。在核能协会组织下标准起草工作组认真学习了GB/T1.1-2020《标准化工作导则 第1部分：标准的结构和编写规则》最新相关要求，标准的结构、起草表述规则和编排格式等内容，同时采用阅读文件、观看视频相结合方式消化核协团标政策及标准化文件的条款内容。</w:t>
      </w:r>
    </w:p>
    <w:p>
      <w:pPr>
        <w:numPr>
          <w:ilvl w:val="0"/>
          <w:numId w:val="0"/>
        </w:numPr>
        <w:ind w:leftChars="0" w:firstLine="560"/>
        <w:jc w:val="left"/>
        <w:rPr>
          <w:rFonts w:hint="eastAsia"/>
          <w:sz w:val="28"/>
          <w:szCs w:val="36"/>
          <w:lang w:val="en-US" w:eastAsia="zh-CN"/>
        </w:rPr>
      </w:pPr>
      <w:r>
        <w:rPr>
          <w:rFonts w:hint="eastAsia"/>
          <w:sz w:val="28"/>
          <w:szCs w:val="36"/>
          <w:lang w:val="en-US" w:eastAsia="zh-CN"/>
        </w:rPr>
        <w:t>标准起草工作组经过技术调研、咨询、收集、消化有关资料，并结合核电抗震电缆桥架的研制技术、项目生产经验和应用现状及技术发展趋势，确定以钢制电缆桥架的生产及应用为主要参考依据，于2020年10月编写完成了该标准《核电抗震电缆桥架》的草案。</w:t>
      </w:r>
    </w:p>
    <w:p>
      <w:pPr>
        <w:numPr>
          <w:ilvl w:val="0"/>
          <w:numId w:val="0"/>
        </w:numPr>
        <w:ind w:firstLine="840" w:firstLineChars="300"/>
        <w:jc w:val="left"/>
        <w:rPr>
          <w:rFonts w:hint="eastAsia"/>
          <w:sz w:val="28"/>
          <w:szCs w:val="36"/>
          <w:lang w:val="en-US" w:eastAsia="zh-CN"/>
        </w:rPr>
      </w:pPr>
      <w:r>
        <w:rPr>
          <w:rFonts w:hint="eastAsia"/>
          <w:sz w:val="28"/>
          <w:szCs w:val="36"/>
          <w:lang w:val="en-US" w:eastAsia="zh-CN"/>
        </w:rPr>
        <w:t>2020年10月13日，起草工作组通过网络对编制完成的《核电抗震电缆桥架》的草案进行讨论。</w:t>
      </w:r>
    </w:p>
    <w:p>
      <w:pPr>
        <w:numPr>
          <w:ilvl w:val="0"/>
          <w:numId w:val="0"/>
        </w:numPr>
        <w:ind w:firstLine="840" w:firstLineChars="300"/>
        <w:jc w:val="left"/>
        <w:rPr>
          <w:rFonts w:hint="eastAsia"/>
          <w:sz w:val="28"/>
          <w:szCs w:val="36"/>
          <w:lang w:val="en-US" w:eastAsia="zh-CN"/>
        </w:rPr>
      </w:pPr>
      <w:r>
        <w:rPr>
          <w:rFonts w:hint="eastAsia"/>
          <w:sz w:val="28"/>
          <w:szCs w:val="36"/>
          <w:lang w:val="en-US" w:eastAsia="zh-CN"/>
        </w:rPr>
        <w:t>2020年10月通过行业协会网站向广大会员单位及桥架行业的其他单位征求意见。</w:t>
      </w:r>
    </w:p>
    <w:p>
      <w:pPr>
        <w:numPr>
          <w:ilvl w:val="0"/>
          <w:numId w:val="1"/>
        </w:numPr>
        <w:ind w:left="0" w:leftChars="0" w:firstLine="0" w:firstLineChars="0"/>
        <w:jc w:val="left"/>
        <w:rPr>
          <w:rFonts w:hint="default"/>
          <w:sz w:val="28"/>
          <w:szCs w:val="36"/>
          <w:lang w:val="en-US" w:eastAsia="zh-CN"/>
        </w:rPr>
      </w:pPr>
      <w:r>
        <w:rPr>
          <w:rFonts w:hint="eastAsia"/>
          <w:b/>
          <w:bCs/>
          <w:sz w:val="32"/>
          <w:szCs w:val="40"/>
          <w:lang w:val="en-US" w:eastAsia="zh-CN"/>
        </w:rPr>
        <w:t>标准编制原则和主要内容</w:t>
      </w:r>
    </w:p>
    <w:p>
      <w:pPr>
        <w:numPr>
          <w:ilvl w:val="0"/>
          <w:numId w:val="3"/>
        </w:numPr>
        <w:ind w:left="0" w:leftChars="0" w:firstLine="562" w:firstLineChars="200"/>
        <w:jc w:val="left"/>
        <w:rPr>
          <w:rFonts w:hint="eastAsia"/>
          <w:b/>
          <w:bCs/>
          <w:sz w:val="28"/>
          <w:szCs w:val="36"/>
          <w:lang w:val="en-US" w:eastAsia="zh-CN"/>
        </w:rPr>
      </w:pPr>
      <w:r>
        <w:rPr>
          <w:rFonts w:hint="eastAsia"/>
          <w:b/>
          <w:bCs/>
          <w:sz w:val="28"/>
          <w:szCs w:val="36"/>
          <w:lang w:val="en-US" w:eastAsia="zh-CN"/>
        </w:rPr>
        <w:t>编制原则</w:t>
      </w:r>
    </w:p>
    <w:p>
      <w:pPr>
        <w:numPr>
          <w:ilvl w:val="0"/>
          <w:numId w:val="4"/>
        </w:numPr>
        <w:ind w:left="625" w:leftChars="0" w:firstLine="15" w:firstLineChars="0"/>
        <w:jc w:val="left"/>
        <w:rPr>
          <w:rFonts w:hint="eastAsia"/>
          <w:sz w:val="28"/>
          <w:szCs w:val="36"/>
          <w:lang w:val="en-US" w:eastAsia="zh-CN"/>
        </w:rPr>
      </w:pPr>
      <w:r>
        <w:rPr>
          <w:rFonts w:hint="eastAsia"/>
          <w:sz w:val="28"/>
          <w:szCs w:val="36"/>
          <w:lang w:val="en-US" w:eastAsia="zh-CN"/>
        </w:rPr>
        <w:t>本标准的制定工作按照GB/T 1.1-2020 标准化工作导则给出规则编写。</w:t>
      </w:r>
    </w:p>
    <w:p>
      <w:pPr>
        <w:numPr>
          <w:ilvl w:val="0"/>
          <w:numId w:val="4"/>
        </w:numPr>
        <w:ind w:left="625" w:leftChars="0" w:firstLine="15" w:firstLineChars="0"/>
        <w:jc w:val="left"/>
        <w:rPr>
          <w:rFonts w:hint="default"/>
          <w:sz w:val="28"/>
          <w:szCs w:val="36"/>
          <w:lang w:val="en-US" w:eastAsia="zh-CN"/>
        </w:rPr>
      </w:pPr>
      <w:r>
        <w:rPr>
          <w:rFonts w:hint="eastAsia"/>
          <w:sz w:val="28"/>
          <w:szCs w:val="36"/>
          <w:lang w:val="en-US" w:eastAsia="zh-CN"/>
        </w:rPr>
        <w:t>本标准制定借鉴了CPR、EPR、CAP核岛电缆桥架技术规范和实际生产过程中的相关工艺指标要求，结合电缆桥架行业标准和电缆桥架工程技术规程及国家标准，并把相关要求纳入本标准中。</w:t>
      </w:r>
    </w:p>
    <w:p>
      <w:pPr>
        <w:numPr>
          <w:ilvl w:val="0"/>
          <w:numId w:val="3"/>
        </w:numPr>
        <w:ind w:left="0" w:leftChars="0" w:firstLine="562" w:firstLineChars="200"/>
        <w:jc w:val="left"/>
        <w:rPr>
          <w:rFonts w:hint="eastAsia"/>
          <w:b/>
          <w:bCs/>
          <w:sz w:val="28"/>
          <w:szCs w:val="36"/>
          <w:lang w:val="en-US" w:eastAsia="zh-CN"/>
        </w:rPr>
      </w:pPr>
      <w:r>
        <w:rPr>
          <w:rFonts w:hint="eastAsia"/>
          <w:b/>
          <w:bCs/>
          <w:sz w:val="28"/>
          <w:szCs w:val="36"/>
          <w:lang w:val="en-US" w:eastAsia="zh-CN"/>
        </w:rPr>
        <w:t>主要技术内容</w:t>
      </w:r>
    </w:p>
    <w:p>
      <w:pPr>
        <w:numPr>
          <w:ilvl w:val="0"/>
          <w:numId w:val="0"/>
        </w:numPr>
        <w:ind w:left="640" w:leftChars="0" w:firstLine="560" w:firstLineChars="200"/>
        <w:jc w:val="left"/>
        <w:rPr>
          <w:rFonts w:hint="default"/>
          <w:sz w:val="28"/>
          <w:szCs w:val="36"/>
          <w:lang w:val="en-US" w:eastAsia="zh-CN"/>
        </w:rPr>
      </w:pPr>
      <w:r>
        <w:rPr>
          <w:rFonts w:hint="eastAsia"/>
          <w:sz w:val="28"/>
          <w:szCs w:val="36"/>
          <w:lang w:val="en-US" w:eastAsia="zh-CN"/>
        </w:rPr>
        <w:t>本标准规定了电缆桥架的性能要求及试验、检验方法。</w:t>
      </w:r>
    </w:p>
    <w:p>
      <w:pPr>
        <w:numPr>
          <w:ilvl w:val="0"/>
          <w:numId w:val="0"/>
        </w:numPr>
        <w:ind w:left="640" w:leftChars="0" w:firstLine="560"/>
        <w:jc w:val="left"/>
        <w:rPr>
          <w:rFonts w:hint="default"/>
          <w:sz w:val="28"/>
          <w:szCs w:val="36"/>
          <w:lang w:val="en-US" w:eastAsia="zh-CN"/>
        </w:rPr>
      </w:pPr>
      <w:r>
        <w:rPr>
          <w:rFonts w:hint="eastAsia"/>
          <w:sz w:val="28"/>
          <w:szCs w:val="36"/>
          <w:lang w:val="en-US" w:eastAsia="zh-CN"/>
        </w:rPr>
        <w:t>本标准适用于核电行业具有抗震要求的支撑电缆系统的电缆桥架。</w:t>
      </w:r>
    </w:p>
    <w:p>
      <w:pPr>
        <w:numPr>
          <w:ilvl w:val="1"/>
          <w:numId w:val="5"/>
        </w:numPr>
        <w:ind w:left="567" w:leftChars="0" w:hanging="147" w:firstLineChars="0"/>
        <w:jc w:val="left"/>
        <w:rPr>
          <w:rFonts w:hint="default"/>
          <w:sz w:val="28"/>
          <w:szCs w:val="36"/>
          <w:lang w:val="en-US" w:eastAsia="zh-CN"/>
        </w:rPr>
      </w:pPr>
      <w:r>
        <w:rPr>
          <w:rFonts w:hint="eastAsia"/>
          <w:sz w:val="28"/>
          <w:szCs w:val="36"/>
          <w:lang w:val="en-US" w:eastAsia="zh-CN"/>
        </w:rPr>
        <w:t>技术要求</w:t>
      </w:r>
    </w:p>
    <w:p>
      <w:pPr>
        <w:numPr>
          <w:ilvl w:val="2"/>
          <w:numId w:val="6"/>
        </w:numPr>
        <w:ind w:left="429" w:leftChars="0" w:hanging="9" w:firstLineChars="0"/>
        <w:jc w:val="left"/>
        <w:rPr>
          <w:rFonts w:hint="default"/>
          <w:sz w:val="28"/>
          <w:szCs w:val="36"/>
          <w:lang w:val="en-US" w:eastAsia="zh-CN"/>
        </w:rPr>
      </w:pPr>
      <w:r>
        <w:rPr>
          <w:rFonts w:hint="eastAsia"/>
          <w:sz w:val="28"/>
          <w:szCs w:val="36"/>
          <w:lang w:val="en-US" w:eastAsia="zh-CN"/>
        </w:rPr>
        <w:t>一般技术要求</w:t>
      </w:r>
    </w:p>
    <w:p>
      <w:pPr>
        <w:numPr>
          <w:ilvl w:val="3"/>
          <w:numId w:val="7"/>
        </w:numPr>
        <w:ind w:left="850" w:leftChars="0" w:hanging="430" w:firstLineChars="0"/>
        <w:jc w:val="left"/>
        <w:rPr>
          <w:rFonts w:hint="default"/>
          <w:sz w:val="28"/>
          <w:szCs w:val="36"/>
          <w:lang w:val="en-US" w:eastAsia="zh-CN"/>
        </w:rPr>
      </w:pPr>
      <w:r>
        <w:rPr>
          <w:rFonts w:hint="eastAsia"/>
          <w:sz w:val="28"/>
          <w:szCs w:val="36"/>
          <w:lang w:val="en-US" w:eastAsia="zh-CN"/>
        </w:rPr>
        <w:t>材质</w:t>
      </w:r>
    </w:p>
    <w:p>
      <w:pPr>
        <w:numPr>
          <w:ilvl w:val="0"/>
          <w:numId w:val="8"/>
        </w:numPr>
        <w:ind w:left="425" w:leftChars="0" w:firstLine="0" w:firstLineChars="0"/>
        <w:jc w:val="left"/>
        <w:rPr>
          <w:rFonts w:hint="eastAsia"/>
          <w:sz w:val="28"/>
          <w:szCs w:val="36"/>
          <w:lang w:val="en-US" w:eastAsia="zh-CN"/>
        </w:rPr>
      </w:pPr>
      <w:r>
        <w:rPr>
          <w:rFonts w:hint="eastAsia"/>
          <w:sz w:val="28"/>
          <w:szCs w:val="36"/>
          <w:lang w:val="en-US" w:eastAsia="zh-CN"/>
        </w:rPr>
        <w:t>电缆桥架</w:t>
      </w:r>
      <w:r>
        <w:rPr>
          <w:rFonts w:hint="eastAsia"/>
          <w:sz w:val="28"/>
          <w:szCs w:val="36"/>
          <w:lang w:val="zh-TW" w:eastAsia="zh-TW"/>
        </w:rPr>
        <w:t>桥架</w:t>
      </w:r>
      <w:r>
        <w:rPr>
          <w:rFonts w:hint="eastAsia"/>
          <w:sz w:val="28"/>
          <w:szCs w:val="36"/>
          <w:lang w:val="en-US" w:eastAsia="zh-CN"/>
        </w:rPr>
        <w:t>及附件为钢制产品，</w:t>
      </w:r>
      <w:r>
        <w:rPr>
          <w:rFonts w:hint="eastAsia"/>
          <w:sz w:val="28"/>
          <w:szCs w:val="36"/>
          <w:lang w:val="zh-TW" w:eastAsia="zh-TW"/>
        </w:rPr>
        <w:t>材质</w:t>
      </w:r>
      <w:r>
        <w:rPr>
          <w:rFonts w:hint="eastAsia"/>
          <w:sz w:val="28"/>
          <w:szCs w:val="36"/>
          <w:lang w:val="en-US" w:eastAsia="zh-CN"/>
        </w:rPr>
        <w:t>为</w:t>
      </w:r>
      <w:r>
        <w:rPr>
          <w:rFonts w:hint="eastAsia"/>
          <w:sz w:val="28"/>
          <w:szCs w:val="36"/>
          <w:lang w:val="zh-CN" w:eastAsia="zh-CN"/>
        </w:rPr>
        <w:t>Q235B ，</w:t>
      </w:r>
      <w:r>
        <w:rPr>
          <w:rFonts w:hint="eastAsia"/>
          <w:sz w:val="28"/>
          <w:szCs w:val="36"/>
          <w:lang w:val="en-US" w:eastAsia="zh-CN"/>
        </w:rPr>
        <w:t>材质符合</w:t>
      </w:r>
    </w:p>
    <w:p>
      <w:pPr>
        <w:numPr>
          <w:ilvl w:val="0"/>
          <w:numId w:val="0"/>
        </w:numPr>
        <w:ind w:left="425" w:leftChars="0"/>
        <w:jc w:val="left"/>
        <w:rPr>
          <w:rFonts w:hint="default"/>
          <w:sz w:val="28"/>
          <w:szCs w:val="36"/>
          <w:lang w:val="en-US" w:eastAsia="zh-CN"/>
        </w:rPr>
      </w:pPr>
      <w:r>
        <w:rPr>
          <w:rFonts w:hint="eastAsia"/>
          <w:sz w:val="28"/>
          <w:szCs w:val="36"/>
          <w:lang w:val="en-US" w:eastAsia="zh-CN"/>
        </w:rPr>
        <w:t>GB/T 700 《碳素结构钢》标准。</w:t>
      </w:r>
    </w:p>
    <w:p>
      <w:pPr>
        <w:numPr>
          <w:ilvl w:val="0"/>
          <w:numId w:val="8"/>
        </w:numPr>
        <w:ind w:left="425" w:leftChars="0" w:firstLine="0" w:firstLineChars="0"/>
        <w:jc w:val="left"/>
        <w:rPr>
          <w:rFonts w:hint="eastAsia"/>
          <w:sz w:val="28"/>
          <w:szCs w:val="36"/>
          <w:lang w:val="en-US" w:eastAsia="zh-CN"/>
        </w:rPr>
      </w:pPr>
      <w:r>
        <w:rPr>
          <w:rFonts w:hint="eastAsia"/>
          <w:sz w:val="28"/>
          <w:szCs w:val="36"/>
          <w:lang w:val="zh-CN" w:eastAsia="zh-CN"/>
        </w:rPr>
        <w:t>支吊架及附件材质为 Q355B，</w:t>
      </w:r>
      <w:r>
        <w:rPr>
          <w:rFonts w:hint="eastAsia"/>
          <w:sz w:val="28"/>
          <w:szCs w:val="36"/>
          <w:lang w:val="en-US" w:eastAsia="zh-CN"/>
        </w:rPr>
        <w:t>材质符合GB/T1591 《低合金高强度钢》标准。</w:t>
      </w:r>
    </w:p>
    <w:p>
      <w:pPr>
        <w:numPr>
          <w:ilvl w:val="0"/>
          <w:numId w:val="8"/>
        </w:numPr>
        <w:ind w:left="425" w:leftChars="0" w:firstLine="0" w:firstLineChars="0"/>
        <w:jc w:val="left"/>
        <w:rPr>
          <w:rFonts w:hint="eastAsia"/>
          <w:sz w:val="28"/>
          <w:szCs w:val="36"/>
          <w:lang w:val="en-US" w:eastAsia="zh-CN"/>
        </w:rPr>
      </w:pPr>
      <w:r>
        <w:rPr>
          <w:rFonts w:hint="eastAsia"/>
          <w:sz w:val="28"/>
          <w:szCs w:val="36"/>
          <w:lang w:val="zh-CN" w:eastAsia="zh-CN"/>
        </w:rPr>
        <w:t>螺栓、螺母、平垫圈、弹簧垫圈等紧固件</w:t>
      </w:r>
      <w:r>
        <w:rPr>
          <w:rFonts w:hint="eastAsia"/>
          <w:sz w:val="28"/>
          <w:szCs w:val="36"/>
          <w:lang w:val="en-US" w:eastAsia="zh-CN"/>
        </w:rPr>
        <w:t>材质为碳钢，机械性能符合GB/T3098.1《紧固件机械性能螺栓、螺钉和螺柱》、GB/T3098.2《紧固件机械性能螺母、粗牙螺柱》标准。</w:t>
      </w:r>
    </w:p>
    <w:p>
      <w:pPr>
        <w:numPr>
          <w:ilvl w:val="3"/>
          <w:numId w:val="7"/>
        </w:numPr>
        <w:ind w:left="850" w:leftChars="0" w:hanging="430" w:firstLineChars="0"/>
        <w:jc w:val="left"/>
        <w:rPr>
          <w:rFonts w:hint="default"/>
          <w:sz w:val="28"/>
          <w:szCs w:val="36"/>
          <w:lang w:val="en-US" w:eastAsia="zh-CN"/>
        </w:rPr>
      </w:pPr>
      <w:r>
        <w:rPr>
          <w:rFonts w:hint="eastAsia"/>
          <w:sz w:val="28"/>
          <w:szCs w:val="36"/>
          <w:lang w:val="en-US" w:eastAsia="zh-CN"/>
        </w:rPr>
        <w:t>抗撞击能力</w:t>
      </w:r>
    </w:p>
    <w:p>
      <w:pPr>
        <w:numPr>
          <w:ilvl w:val="0"/>
          <w:numId w:val="0"/>
        </w:numPr>
        <w:ind w:left="425" w:leftChars="0" w:firstLine="560" w:firstLineChars="200"/>
        <w:jc w:val="left"/>
        <w:rPr>
          <w:rFonts w:hint="eastAsia"/>
          <w:sz w:val="28"/>
          <w:szCs w:val="36"/>
          <w:lang w:val="en-US" w:eastAsia="zh-CN"/>
        </w:rPr>
      </w:pPr>
      <w:r>
        <w:rPr>
          <w:rFonts w:hint="eastAsia"/>
          <w:sz w:val="28"/>
          <w:szCs w:val="36"/>
          <w:lang w:val="en-US" w:eastAsia="zh-CN"/>
        </w:rPr>
        <w:t>桥架应能承受碰撞能量为10 J的撞击，撞击后不应岀现影响安全使用的变形和裂纹。</w:t>
      </w:r>
    </w:p>
    <w:p>
      <w:pPr>
        <w:numPr>
          <w:ilvl w:val="3"/>
          <w:numId w:val="7"/>
        </w:numPr>
        <w:ind w:left="850" w:leftChars="0" w:hanging="430" w:firstLineChars="0"/>
        <w:jc w:val="left"/>
        <w:rPr>
          <w:rFonts w:hint="eastAsia"/>
          <w:sz w:val="28"/>
          <w:szCs w:val="36"/>
          <w:lang w:val="en-US" w:eastAsia="zh-CN"/>
        </w:rPr>
      </w:pPr>
      <w:r>
        <w:rPr>
          <w:rFonts w:hint="eastAsia"/>
          <w:sz w:val="28"/>
          <w:szCs w:val="36"/>
          <w:lang w:val="en-US" w:eastAsia="zh-CN"/>
        </w:rPr>
        <w:t>镀锌要求</w:t>
      </w:r>
    </w:p>
    <w:p>
      <w:pPr>
        <w:widowControl w:val="0"/>
        <w:numPr>
          <w:ilvl w:val="0"/>
          <w:numId w:val="0"/>
        </w:numPr>
        <w:ind w:firstLine="840" w:firstLineChars="300"/>
        <w:jc w:val="left"/>
        <w:rPr>
          <w:rFonts w:hint="eastAsia"/>
          <w:sz w:val="28"/>
          <w:szCs w:val="36"/>
          <w:lang w:val="zh-CN" w:eastAsia="zh-CN"/>
        </w:rPr>
      </w:pPr>
      <w:r>
        <w:rPr>
          <w:rFonts w:hint="eastAsia"/>
          <w:sz w:val="28"/>
          <w:szCs w:val="36"/>
          <w:lang w:val="zh-CN" w:eastAsia="zh-CN"/>
        </w:rPr>
        <w:t>所有的桥架、弯通、支吊架和附件都应按照 GB/T 13912 的要求进行制造后热浸镀锌处理。加工完成后镀锌，锌层的厚度要尽可能一致。</w:t>
      </w:r>
    </w:p>
    <w:p>
      <w:pPr>
        <w:numPr>
          <w:ilvl w:val="0"/>
          <w:numId w:val="0"/>
        </w:numPr>
        <w:ind w:firstLine="560" w:firstLineChars="200"/>
        <w:jc w:val="left"/>
        <w:rPr>
          <w:rFonts w:hint="eastAsia"/>
          <w:sz w:val="28"/>
          <w:szCs w:val="36"/>
          <w:lang w:val="en-US" w:eastAsia="zh-CN"/>
        </w:rPr>
      </w:pPr>
      <w:r>
        <w:rPr>
          <w:rFonts w:hint="eastAsia"/>
          <w:sz w:val="28"/>
          <w:szCs w:val="36"/>
          <w:lang w:val="en-US" w:eastAsia="zh-CN"/>
        </w:rPr>
        <w:t>桥架及支吊架表面防护处理为热浸镀锌，镀锌后的产品必须要经受盐雾测试。</w:t>
      </w:r>
    </w:p>
    <w:p>
      <w:pPr>
        <w:numPr>
          <w:ilvl w:val="3"/>
          <w:numId w:val="7"/>
        </w:numPr>
        <w:ind w:left="850" w:leftChars="0" w:hanging="430" w:firstLineChars="0"/>
        <w:jc w:val="left"/>
        <w:rPr>
          <w:rFonts w:hint="eastAsia"/>
          <w:sz w:val="28"/>
          <w:szCs w:val="36"/>
          <w:lang w:val="en-US" w:eastAsia="zh-CN"/>
        </w:rPr>
      </w:pPr>
      <w:r>
        <w:rPr>
          <w:rFonts w:hint="eastAsia"/>
          <w:sz w:val="28"/>
          <w:szCs w:val="36"/>
          <w:lang w:val="en-US" w:eastAsia="zh-CN"/>
        </w:rPr>
        <w:t>保护电路连续性</w:t>
      </w:r>
    </w:p>
    <w:p>
      <w:pPr>
        <w:widowControl w:val="0"/>
        <w:numPr>
          <w:ilvl w:val="0"/>
          <w:numId w:val="0"/>
        </w:numPr>
        <w:ind w:firstLine="560" w:firstLineChars="200"/>
        <w:jc w:val="left"/>
        <w:rPr>
          <w:rFonts w:hint="eastAsia"/>
          <w:sz w:val="28"/>
          <w:szCs w:val="36"/>
          <w:lang w:val="en-US" w:eastAsia="zh-CN"/>
        </w:rPr>
      </w:pPr>
      <w:r>
        <w:rPr>
          <w:rFonts w:hint="eastAsia"/>
          <w:sz w:val="28"/>
          <w:szCs w:val="36"/>
          <w:lang w:val="en-US" w:eastAsia="zh-CN"/>
        </w:rPr>
        <w:t>金属桥架系统应有可靠的电气连接，并接地。保护电路连续性的技术要求为：在有跨接点处连接电阻应小于等于50 mQ；无接点处连接电阻应小于等于5 mQ/m»。</w:t>
      </w:r>
    </w:p>
    <w:p>
      <w:pPr>
        <w:numPr>
          <w:ilvl w:val="3"/>
          <w:numId w:val="7"/>
        </w:numPr>
        <w:ind w:left="850" w:leftChars="0" w:hanging="430" w:firstLineChars="0"/>
        <w:jc w:val="left"/>
        <w:rPr>
          <w:rFonts w:hint="eastAsia"/>
          <w:sz w:val="28"/>
          <w:szCs w:val="36"/>
          <w:lang w:val="en-US" w:eastAsia="zh-CN"/>
        </w:rPr>
      </w:pPr>
      <w:r>
        <w:rPr>
          <w:rFonts w:hint="eastAsia"/>
          <w:sz w:val="28"/>
          <w:szCs w:val="36"/>
          <w:lang w:val="en-US" w:eastAsia="zh-CN"/>
        </w:rPr>
        <w:t>机械强度</w:t>
      </w:r>
    </w:p>
    <w:p>
      <w:pPr>
        <w:numPr>
          <w:ilvl w:val="0"/>
          <w:numId w:val="0"/>
        </w:numPr>
        <w:ind w:firstLine="840" w:firstLineChars="300"/>
        <w:jc w:val="left"/>
        <w:rPr>
          <w:rFonts w:hint="eastAsia"/>
          <w:sz w:val="28"/>
          <w:szCs w:val="36"/>
          <w:lang w:val="en-US" w:eastAsia="zh-CN"/>
        </w:rPr>
      </w:pPr>
      <w:r>
        <w:rPr>
          <w:rFonts w:hint="eastAsia" w:asciiTheme="minorHAnsi" w:hAnsiTheme="minorHAnsi" w:eastAsiaTheme="minorEastAsia" w:cstheme="minorBidi"/>
          <w:kern w:val="2"/>
          <w:sz w:val="28"/>
          <w:szCs w:val="36"/>
          <w:u w:val="none"/>
          <w:shd w:val="clear"/>
          <w:lang w:val="en-US" w:eastAsia="zh-CN" w:bidi="ar-SA"/>
        </w:rPr>
        <w:t>电缆桥架应提供除包括其本身的重量外足够的机械强度，还</w:t>
      </w:r>
      <w:r>
        <w:rPr>
          <w:rFonts w:hint="eastAsia"/>
          <w:sz w:val="28"/>
          <w:szCs w:val="36"/>
          <w:lang w:val="en-US" w:eastAsia="zh-CN"/>
        </w:rPr>
        <w:t>应包括其所能承受的电线电缆的机械载荷。电缆桥架在承受安全工作载荷（SWL）时，其相对挠度不宜大于1/200,钢制吊架的横担或侧壁固定的托臂在承受安企工作载荷（SWL）时的最大挠度值与其支吊架本身长度之比不宜大于1/100.</w:t>
      </w:r>
    </w:p>
    <w:p>
      <w:pPr>
        <w:numPr>
          <w:ilvl w:val="3"/>
          <w:numId w:val="7"/>
        </w:numPr>
        <w:ind w:left="850" w:leftChars="0" w:hanging="430" w:firstLineChars="0"/>
        <w:jc w:val="left"/>
        <w:rPr>
          <w:rFonts w:hint="default"/>
          <w:sz w:val="28"/>
          <w:szCs w:val="36"/>
          <w:lang w:val="en-US" w:eastAsia="zh-CN"/>
        </w:rPr>
      </w:pPr>
      <w:r>
        <w:rPr>
          <w:rFonts w:hint="eastAsia"/>
          <w:sz w:val="28"/>
          <w:szCs w:val="36"/>
          <w:lang w:val="en-US" w:eastAsia="zh-CN"/>
        </w:rPr>
        <w:t>抗震要求</w:t>
      </w:r>
    </w:p>
    <w:p>
      <w:pPr>
        <w:numPr>
          <w:ilvl w:val="0"/>
          <w:numId w:val="0"/>
        </w:numPr>
        <w:ind w:left="425" w:leftChars="0"/>
        <w:jc w:val="left"/>
        <w:rPr>
          <w:rFonts w:hint="eastAsia"/>
          <w:sz w:val="28"/>
          <w:szCs w:val="36"/>
          <w:lang w:val="en-US" w:eastAsia="zh-CN"/>
        </w:rPr>
      </w:pPr>
      <w:r>
        <w:rPr>
          <w:rFonts w:hint="eastAsia"/>
          <w:sz w:val="28"/>
          <w:szCs w:val="36"/>
          <w:lang w:val="en-US" w:eastAsia="zh-CN"/>
        </w:rPr>
        <w:t xml:space="preserve">  </w:t>
      </w:r>
      <w:r>
        <w:rPr>
          <w:rFonts w:hint="default"/>
          <w:sz w:val="28"/>
          <w:szCs w:val="36"/>
          <w:lang w:val="en-US" w:eastAsia="zh-CN"/>
        </w:rPr>
        <w:t>电缆桥架和支吊架应满足GB/T13625的鉴定要求，并进行抗震鉴定。抗震鉴定应遵循GB/T12727-2017鉴定方法和要求。电缆桥架在发生地震期间和地震后应能执行安全支撑功能</w:t>
      </w:r>
      <w:r>
        <w:rPr>
          <w:rFonts w:hint="eastAsia"/>
          <w:sz w:val="28"/>
          <w:szCs w:val="36"/>
          <w:lang w:val="en-US" w:eastAsia="zh-CN"/>
        </w:rPr>
        <w:t>。</w:t>
      </w:r>
    </w:p>
    <w:p>
      <w:pPr>
        <w:numPr>
          <w:ilvl w:val="1"/>
          <w:numId w:val="5"/>
        </w:numPr>
        <w:ind w:left="567" w:leftChars="0" w:hanging="147" w:firstLineChars="0"/>
        <w:jc w:val="left"/>
        <w:rPr>
          <w:rFonts w:hint="default"/>
          <w:sz w:val="28"/>
          <w:szCs w:val="36"/>
          <w:lang w:val="en-US" w:eastAsia="zh-CN"/>
        </w:rPr>
      </w:pPr>
      <w:r>
        <w:rPr>
          <w:rFonts w:hint="eastAsia"/>
          <w:sz w:val="28"/>
          <w:szCs w:val="36"/>
          <w:lang w:val="en-US" w:eastAsia="zh-CN"/>
        </w:rPr>
        <w:t>主要试验验证</w:t>
      </w:r>
    </w:p>
    <w:p>
      <w:pPr>
        <w:numPr>
          <w:ilvl w:val="0"/>
          <w:numId w:val="0"/>
        </w:numPr>
        <w:ind w:left="420" w:leftChars="0" w:firstLine="560" w:firstLineChars="200"/>
        <w:jc w:val="left"/>
        <w:rPr>
          <w:rFonts w:hint="eastAsia"/>
          <w:sz w:val="28"/>
          <w:szCs w:val="36"/>
          <w:lang w:val="en-US" w:eastAsia="zh-CN"/>
        </w:rPr>
      </w:pPr>
      <w:r>
        <w:rPr>
          <w:rFonts w:hint="eastAsia"/>
          <w:sz w:val="28"/>
          <w:szCs w:val="36"/>
          <w:lang w:val="en-US" w:eastAsia="zh-CN"/>
        </w:rPr>
        <w:t>标准中的抗震试验是由国家实验室——同济大学土木工程防灾国家重点实验室振动台试验室进行的，通过试验，测定抗震电缆桥架即支吊架的自振频率和阻尼比，考核抗震电缆桥架及支吊架及部件的刚度、强度、验证抗震电缆桥架及支吊架在地震作用时和作用后能否正常工作，保持其完整性，履行其相关的安全功能。</w:t>
      </w:r>
    </w:p>
    <w:p>
      <w:pPr>
        <w:numPr>
          <w:ilvl w:val="0"/>
          <w:numId w:val="0"/>
        </w:numPr>
        <w:ind w:left="420" w:leftChars="0" w:firstLine="210" w:firstLineChars="100"/>
        <w:jc w:val="left"/>
        <w:rPr>
          <w:rFonts w:hint="default"/>
          <w:sz w:val="28"/>
          <w:szCs w:val="36"/>
          <w:lang w:val="en-US" w:eastAsia="zh-CN"/>
        </w:rPr>
      </w:pPr>
      <w:r>
        <w:drawing>
          <wp:anchor distT="0" distB="0" distL="114300" distR="114300" simplePos="0" relativeHeight="251658240" behindDoc="1" locked="0" layoutInCell="1" allowOverlap="1">
            <wp:simplePos x="0" y="0"/>
            <wp:positionH relativeFrom="column">
              <wp:posOffset>3151505</wp:posOffset>
            </wp:positionH>
            <wp:positionV relativeFrom="paragraph">
              <wp:posOffset>81915</wp:posOffset>
            </wp:positionV>
            <wp:extent cx="2296795" cy="1493520"/>
            <wp:effectExtent l="0" t="0" r="0" b="5080"/>
            <wp:wrapTight wrapText="bothSides">
              <wp:wrapPolygon>
                <wp:start x="0" y="0"/>
                <wp:lineTo x="0" y="21490"/>
                <wp:lineTo x="21498" y="21490"/>
                <wp:lineTo x="21498" y="0"/>
                <wp:lineTo x="0" y="0"/>
              </wp:wrapPolygon>
            </wp:wrapTight>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2296795" cy="1493520"/>
                    </a:xfrm>
                    <a:prstGeom prst="rect">
                      <a:avLst/>
                    </a:prstGeom>
                    <a:noFill/>
                    <a:ln>
                      <a:noFill/>
                    </a:ln>
                  </pic:spPr>
                </pic:pic>
              </a:graphicData>
            </a:graphic>
          </wp:anchor>
        </w:drawing>
      </w:r>
      <w:r>
        <w:drawing>
          <wp:inline distT="0" distB="0" distL="114300" distR="114300">
            <wp:extent cx="2512695" cy="1508125"/>
            <wp:effectExtent l="0" t="0" r="1905"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2512695" cy="1508125"/>
                    </a:xfrm>
                    <a:prstGeom prst="rect">
                      <a:avLst/>
                    </a:prstGeom>
                    <a:noFill/>
                    <a:ln>
                      <a:noFill/>
                    </a:ln>
                  </pic:spPr>
                </pic:pic>
              </a:graphicData>
            </a:graphic>
          </wp:inline>
        </w:drawing>
      </w:r>
    </w:p>
    <w:p>
      <w:pPr>
        <w:numPr>
          <w:ilvl w:val="0"/>
          <w:numId w:val="0"/>
        </w:numPr>
        <w:ind w:left="420" w:leftChars="0"/>
        <w:jc w:val="left"/>
      </w:pPr>
    </w:p>
    <w:p>
      <w:pPr>
        <w:numPr>
          <w:ilvl w:val="0"/>
          <w:numId w:val="0"/>
        </w:numPr>
        <w:ind w:left="420" w:leftChars="0"/>
        <w:jc w:val="left"/>
      </w:pPr>
    </w:p>
    <w:p>
      <w:pPr>
        <w:numPr>
          <w:ilvl w:val="0"/>
          <w:numId w:val="0"/>
        </w:numPr>
        <w:ind w:left="420" w:leftChars="0"/>
        <w:jc w:val="left"/>
      </w:pPr>
      <w:r>
        <w:drawing>
          <wp:anchor distT="0" distB="0" distL="114300" distR="114300" simplePos="0" relativeHeight="251659264" behindDoc="1" locked="0" layoutInCell="1" allowOverlap="1">
            <wp:simplePos x="0" y="0"/>
            <wp:positionH relativeFrom="column">
              <wp:posOffset>3031490</wp:posOffset>
            </wp:positionH>
            <wp:positionV relativeFrom="paragraph">
              <wp:posOffset>19685</wp:posOffset>
            </wp:positionV>
            <wp:extent cx="2436495" cy="1374775"/>
            <wp:effectExtent l="0" t="0" r="1905" b="9525"/>
            <wp:wrapTight wrapText="bothSides">
              <wp:wrapPolygon>
                <wp:start x="0" y="0"/>
                <wp:lineTo x="0" y="21351"/>
                <wp:lineTo x="21504" y="21351"/>
                <wp:lineTo x="21504"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2436495" cy="1374775"/>
                    </a:xfrm>
                    <a:prstGeom prst="rect">
                      <a:avLst/>
                    </a:prstGeom>
                    <a:noFill/>
                    <a:ln>
                      <a:noFill/>
                    </a:ln>
                  </pic:spPr>
                </pic:pic>
              </a:graphicData>
            </a:graphic>
          </wp:anchor>
        </w:drawing>
      </w:r>
      <w:r>
        <w:drawing>
          <wp:inline distT="0" distB="0" distL="114300" distR="114300">
            <wp:extent cx="2468245" cy="1384300"/>
            <wp:effectExtent l="0" t="0" r="825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rcRect r="3683"/>
                    <a:stretch>
                      <a:fillRect/>
                    </a:stretch>
                  </pic:blipFill>
                  <pic:spPr>
                    <a:xfrm>
                      <a:off x="0" y="0"/>
                      <a:ext cx="2468245" cy="1384300"/>
                    </a:xfrm>
                    <a:prstGeom prst="rect">
                      <a:avLst/>
                    </a:prstGeom>
                    <a:noFill/>
                    <a:ln>
                      <a:noFill/>
                    </a:ln>
                  </pic:spPr>
                </pic:pic>
              </a:graphicData>
            </a:graphic>
          </wp:inline>
        </w:drawing>
      </w:r>
    </w:p>
    <w:p>
      <w:pPr>
        <w:numPr>
          <w:ilvl w:val="0"/>
          <w:numId w:val="0"/>
        </w:numPr>
        <w:ind w:left="420" w:leftChars="0"/>
        <w:jc w:val="left"/>
      </w:pPr>
      <w:r>
        <w:drawing>
          <wp:anchor distT="0" distB="0" distL="114300" distR="114300" simplePos="0" relativeHeight="251660288" behindDoc="1" locked="0" layoutInCell="1" allowOverlap="1">
            <wp:simplePos x="0" y="0"/>
            <wp:positionH relativeFrom="column">
              <wp:posOffset>3053080</wp:posOffset>
            </wp:positionH>
            <wp:positionV relativeFrom="paragraph">
              <wp:posOffset>55245</wp:posOffset>
            </wp:positionV>
            <wp:extent cx="1985645" cy="1632585"/>
            <wp:effectExtent l="0" t="0" r="8255" b="5715"/>
            <wp:wrapTight wrapText="bothSides">
              <wp:wrapPolygon>
                <wp:start x="0" y="0"/>
                <wp:lineTo x="0" y="21508"/>
                <wp:lineTo x="21413" y="21508"/>
                <wp:lineTo x="21413" y="0"/>
                <wp:lineTo x="0" y="0"/>
              </wp:wrapPolygon>
            </wp:wrapTight>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8"/>
                    <a:srcRect l="18602"/>
                    <a:stretch>
                      <a:fillRect/>
                    </a:stretch>
                  </pic:blipFill>
                  <pic:spPr>
                    <a:xfrm>
                      <a:off x="0" y="0"/>
                      <a:ext cx="1985645" cy="1632585"/>
                    </a:xfrm>
                    <a:prstGeom prst="rect">
                      <a:avLst/>
                    </a:prstGeom>
                    <a:noFill/>
                    <a:ln>
                      <a:noFill/>
                    </a:ln>
                  </pic:spPr>
                </pic:pic>
              </a:graphicData>
            </a:graphic>
          </wp:anchor>
        </w:drawing>
      </w:r>
      <w:r>
        <w:drawing>
          <wp:inline distT="0" distB="0" distL="114300" distR="114300">
            <wp:extent cx="2405380" cy="1612900"/>
            <wp:effectExtent l="0" t="0" r="7620" b="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9"/>
                    <a:stretch>
                      <a:fillRect/>
                    </a:stretch>
                  </pic:blipFill>
                  <pic:spPr>
                    <a:xfrm>
                      <a:off x="0" y="0"/>
                      <a:ext cx="2405380" cy="1612900"/>
                    </a:xfrm>
                    <a:prstGeom prst="rect">
                      <a:avLst/>
                    </a:prstGeom>
                    <a:noFill/>
                    <a:ln>
                      <a:noFill/>
                    </a:ln>
                  </pic:spPr>
                </pic:pic>
              </a:graphicData>
            </a:graphic>
          </wp:inline>
        </w:drawing>
      </w:r>
      <w:bookmarkStart w:id="0" w:name="_GoBack"/>
      <w:bookmarkEnd w:id="0"/>
    </w:p>
    <w:p>
      <w:pPr>
        <w:numPr>
          <w:ilvl w:val="0"/>
          <w:numId w:val="0"/>
        </w:numPr>
        <w:ind w:left="420" w:leftChars="0"/>
        <w:jc w:val="left"/>
      </w:pPr>
    </w:p>
    <w:p>
      <w:pPr>
        <w:numPr>
          <w:ilvl w:val="2"/>
          <w:numId w:val="9"/>
        </w:numPr>
        <w:ind w:left="709" w:leftChars="0" w:hanging="709" w:firstLineChars="0"/>
        <w:jc w:val="left"/>
        <w:rPr>
          <w:rFonts w:hint="eastAsia"/>
          <w:sz w:val="28"/>
          <w:szCs w:val="36"/>
          <w:lang w:val="en-US" w:eastAsia="zh-CN"/>
        </w:rPr>
      </w:pPr>
      <w:r>
        <w:rPr>
          <w:rFonts w:hint="eastAsia"/>
          <w:sz w:val="28"/>
          <w:szCs w:val="36"/>
          <w:lang w:val="en-US" w:eastAsia="zh-CN"/>
        </w:rPr>
        <w:t>实施的试验内容：</w:t>
      </w:r>
    </w:p>
    <w:p>
      <w:pPr>
        <w:numPr>
          <w:ilvl w:val="0"/>
          <w:numId w:val="0"/>
        </w:numPr>
        <w:ind w:leftChars="0"/>
        <w:jc w:val="left"/>
        <w:rPr>
          <w:rFonts w:hint="default"/>
          <w:sz w:val="28"/>
          <w:szCs w:val="36"/>
          <w:lang w:val="en-US" w:eastAsia="zh-CN"/>
        </w:rPr>
      </w:pPr>
      <w:r>
        <w:rPr>
          <w:rFonts w:hint="eastAsia"/>
          <w:sz w:val="28"/>
          <w:szCs w:val="36"/>
          <w:lang w:val="en-US" w:eastAsia="zh-CN"/>
        </w:rPr>
        <w:t xml:space="preserve">   通过在同济大学抗震试验室进行的抗震试验，目前电缆桥架抗震性能试验已完成，具体试验内容如下：</w:t>
      </w:r>
    </w:p>
    <w:p>
      <w:pPr>
        <w:numPr>
          <w:ilvl w:val="0"/>
          <w:numId w:val="10"/>
        </w:numPr>
        <w:ind w:left="420" w:leftChars="0" w:hanging="420" w:firstLineChars="0"/>
        <w:jc w:val="left"/>
        <w:rPr>
          <w:rFonts w:hint="default"/>
          <w:sz w:val="28"/>
          <w:szCs w:val="36"/>
          <w:lang w:val="en-US" w:eastAsia="zh-CN"/>
        </w:rPr>
      </w:pPr>
      <w:r>
        <w:rPr>
          <w:rFonts w:hint="eastAsia"/>
          <w:sz w:val="28"/>
          <w:szCs w:val="36"/>
          <w:lang w:val="en-US" w:eastAsia="zh-CN"/>
        </w:rPr>
        <w:t>抗震电缆桥架及支吊架在地震作用过程中及其之后的结构完整性；</w:t>
      </w:r>
    </w:p>
    <w:p>
      <w:pPr>
        <w:numPr>
          <w:ilvl w:val="0"/>
          <w:numId w:val="10"/>
        </w:numPr>
        <w:ind w:left="420" w:leftChars="0" w:hanging="420" w:firstLineChars="0"/>
        <w:jc w:val="left"/>
        <w:rPr>
          <w:rFonts w:hint="default"/>
          <w:sz w:val="28"/>
          <w:szCs w:val="36"/>
          <w:lang w:val="en-US" w:eastAsia="zh-CN"/>
        </w:rPr>
      </w:pPr>
      <w:r>
        <w:rPr>
          <w:rFonts w:hint="eastAsia"/>
          <w:sz w:val="28"/>
          <w:szCs w:val="36"/>
          <w:lang w:val="en-US" w:eastAsia="zh-CN"/>
        </w:rPr>
        <w:t>抗震电缆桥架及支吊架的自振频率和阻尼比；</w:t>
      </w:r>
    </w:p>
    <w:p>
      <w:pPr>
        <w:numPr>
          <w:ilvl w:val="0"/>
          <w:numId w:val="10"/>
        </w:numPr>
        <w:ind w:left="420" w:leftChars="0" w:hanging="420" w:firstLineChars="0"/>
        <w:jc w:val="left"/>
        <w:rPr>
          <w:rFonts w:hint="default"/>
          <w:sz w:val="28"/>
          <w:szCs w:val="36"/>
          <w:lang w:val="en-US" w:eastAsia="zh-CN"/>
        </w:rPr>
      </w:pPr>
      <w:r>
        <w:rPr>
          <w:rFonts w:hint="eastAsia"/>
          <w:sz w:val="28"/>
          <w:szCs w:val="36"/>
          <w:lang w:val="en-US" w:eastAsia="zh-CN"/>
        </w:rPr>
        <w:t>抗震电缆桥架及支吊架进行5次三向1/2SSE考核试验；</w:t>
      </w:r>
    </w:p>
    <w:p>
      <w:pPr>
        <w:numPr>
          <w:ilvl w:val="0"/>
          <w:numId w:val="10"/>
        </w:numPr>
        <w:ind w:left="420" w:leftChars="0" w:hanging="420" w:firstLineChars="0"/>
        <w:jc w:val="left"/>
        <w:rPr>
          <w:rFonts w:hint="eastAsia"/>
          <w:sz w:val="28"/>
          <w:szCs w:val="36"/>
          <w:lang w:val="en-US" w:eastAsia="zh-CN"/>
        </w:rPr>
      </w:pPr>
      <w:r>
        <w:rPr>
          <w:rFonts w:hint="eastAsia"/>
          <w:sz w:val="28"/>
          <w:szCs w:val="36"/>
          <w:lang w:val="en-US" w:eastAsia="zh-CN"/>
        </w:rPr>
        <w:t>抗震电缆桥架及支吊架进行2次双向SSE考核试验；</w:t>
      </w:r>
    </w:p>
    <w:p>
      <w:pPr>
        <w:numPr>
          <w:ilvl w:val="2"/>
          <w:numId w:val="9"/>
        </w:numPr>
        <w:ind w:left="709" w:leftChars="0" w:hanging="709" w:firstLineChars="0"/>
        <w:jc w:val="left"/>
        <w:rPr>
          <w:rFonts w:hint="eastAsia"/>
          <w:sz w:val="28"/>
          <w:szCs w:val="36"/>
          <w:lang w:val="en-US" w:eastAsia="zh-CN"/>
        </w:rPr>
      </w:pPr>
      <w:r>
        <w:rPr>
          <w:rFonts w:hint="eastAsia"/>
          <w:sz w:val="28"/>
          <w:szCs w:val="36"/>
          <w:lang w:val="en-US" w:eastAsia="zh-CN"/>
        </w:rPr>
        <w:t>实施的试验结果：</w:t>
      </w:r>
    </w:p>
    <w:p>
      <w:pPr>
        <w:numPr>
          <w:ilvl w:val="0"/>
          <w:numId w:val="0"/>
        </w:numPr>
        <w:ind w:leftChars="0"/>
        <w:jc w:val="left"/>
        <w:rPr>
          <w:rFonts w:hint="default"/>
          <w:sz w:val="28"/>
          <w:szCs w:val="36"/>
          <w:lang w:val="en-US" w:eastAsia="zh-CN"/>
        </w:rPr>
      </w:pPr>
      <w:r>
        <w:rPr>
          <w:rFonts w:hint="eastAsia"/>
          <w:sz w:val="28"/>
          <w:szCs w:val="36"/>
          <w:lang w:val="en-US" w:eastAsia="zh-CN"/>
        </w:rPr>
        <w:t xml:space="preserve">    在完成电缆桥架抗震试验大纲所规定的抗震试验后，样品的结构及性能保持完好，满足桥架试验大纲提出的试验要求。</w:t>
      </w:r>
    </w:p>
    <w:p>
      <w:pPr>
        <w:numPr>
          <w:ilvl w:val="0"/>
          <w:numId w:val="3"/>
        </w:numPr>
        <w:ind w:left="0" w:leftChars="0" w:firstLine="562" w:firstLineChars="200"/>
        <w:jc w:val="left"/>
        <w:rPr>
          <w:rFonts w:hint="default"/>
          <w:b/>
          <w:bCs/>
          <w:sz w:val="28"/>
          <w:szCs w:val="36"/>
          <w:lang w:val="en-US" w:eastAsia="zh-CN"/>
        </w:rPr>
      </w:pPr>
      <w:r>
        <w:rPr>
          <w:rFonts w:hint="eastAsia"/>
          <w:b/>
          <w:bCs/>
          <w:sz w:val="28"/>
          <w:szCs w:val="36"/>
          <w:lang w:val="en-US" w:eastAsia="zh-CN"/>
        </w:rPr>
        <w:t>与有关行政法规和其它标准制定的情况</w:t>
      </w:r>
    </w:p>
    <w:p>
      <w:pPr>
        <w:numPr>
          <w:ilvl w:val="0"/>
          <w:numId w:val="0"/>
        </w:numPr>
        <w:ind w:leftChars="200" w:firstLine="560" w:firstLineChars="200"/>
        <w:jc w:val="left"/>
        <w:rPr>
          <w:rFonts w:hint="eastAsia"/>
          <w:b w:val="0"/>
          <w:bCs w:val="0"/>
          <w:sz w:val="28"/>
          <w:szCs w:val="36"/>
          <w:lang w:val="en-US" w:eastAsia="zh-CN"/>
        </w:rPr>
      </w:pPr>
      <w:r>
        <w:rPr>
          <w:rFonts w:hint="eastAsia"/>
          <w:b w:val="0"/>
          <w:bCs w:val="0"/>
          <w:sz w:val="28"/>
          <w:szCs w:val="36"/>
          <w:lang w:val="en-US" w:eastAsia="zh-CN"/>
        </w:rPr>
        <w:t>本标准体系是用于核电行业，与其它标准关联紧密，不可或缺，本标准与有关行政法规以及其它标准协调一致。</w:t>
      </w:r>
    </w:p>
    <w:p>
      <w:pPr>
        <w:numPr>
          <w:ilvl w:val="0"/>
          <w:numId w:val="3"/>
        </w:numPr>
        <w:ind w:left="0" w:leftChars="0" w:firstLine="562" w:firstLineChars="200"/>
        <w:jc w:val="left"/>
        <w:rPr>
          <w:rFonts w:hint="default"/>
          <w:b/>
          <w:bCs/>
          <w:sz w:val="28"/>
          <w:szCs w:val="36"/>
          <w:lang w:val="en-US" w:eastAsia="zh-CN"/>
        </w:rPr>
      </w:pPr>
      <w:r>
        <w:rPr>
          <w:rFonts w:hint="eastAsia"/>
          <w:b/>
          <w:bCs/>
          <w:sz w:val="28"/>
          <w:szCs w:val="36"/>
          <w:lang w:val="en-US" w:eastAsia="zh-CN"/>
        </w:rPr>
        <w:t>与国际标准比对分析</w:t>
      </w:r>
    </w:p>
    <w:p>
      <w:pPr>
        <w:numPr>
          <w:ilvl w:val="0"/>
          <w:numId w:val="0"/>
        </w:numPr>
        <w:ind w:firstLine="560" w:firstLineChars="200"/>
        <w:jc w:val="left"/>
        <w:rPr>
          <w:rFonts w:hint="eastAsia"/>
          <w:b w:val="0"/>
          <w:bCs w:val="0"/>
          <w:sz w:val="28"/>
          <w:szCs w:val="36"/>
          <w:lang w:val="en-US" w:eastAsia="zh-CN"/>
        </w:rPr>
      </w:pPr>
      <w:r>
        <w:rPr>
          <w:rFonts w:hint="eastAsia"/>
          <w:b w:val="0"/>
          <w:bCs w:val="0"/>
          <w:sz w:val="28"/>
          <w:szCs w:val="36"/>
          <w:lang w:val="en-US" w:eastAsia="zh-CN"/>
        </w:rPr>
        <w:t>在技术发达国家，电缆桥架的制造通常以国际电工委员会发布的IEC 61537-2006  Cable management - Cable tray systems and cable ladder systems 系统为基准，等效于国家标准GBT 21762《电缆管理 电缆托盘系统和电缆梯架系统》，在桥架行业标准中以JB/T10216标准为主导，因此在制定本标准时，根据GBT 21762为基础，参照JB/T10216标准结合核电技术规范起草。</w:t>
      </w:r>
    </w:p>
    <w:p>
      <w:pPr>
        <w:numPr>
          <w:ilvl w:val="0"/>
          <w:numId w:val="0"/>
        </w:numPr>
        <w:ind w:firstLine="560" w:firstLineChars="200"/>
        <w:jc w:val="left"/>
        <w:rPr>
          <w:rFonts w:hint="eastAsia"/>
          <w:b w:val="0"/>
          <w:bCs w:val="0"/>
          <w:sz w:val="28"/>
          <w:szCs w:val="36"/>
          <w:lang w:val="en-US" w:eastAsia="zh-CN"/>
        </w:rPr>
      </w:pPr>
      <w:r>
        <w:rPr>
          <w:rFonts w:hint="eastAsia"/>
          <w:b w:val="0"/>
          <w:bCs w:val="0"/>
          <w:sz w:val="28"/>
          <w:szCs w:val="36"/>
          <w:lang w:val="en-US" w:eastAsia="zh-CN"/>
        </w:rPr>
        <w:t>本标准与GBT 21762差异如下：</w:t>
      </w:r>
    </w:p>
    <w:p>
      <w:pPr>
        <w:numPr>
          <w:ilvl w:val="0"/>
          <w:numId w:val="0"/>
        </w:numPr>
        <w:ind w:firstLine="560" w:firstLineChars="200"/>
        <w:jc w:val="left"/>
        <w:rPr>
          <w:rFonts w:hint="eastAsia"/>
          <w:b w:val="0"/>
          <w:bCs w:val="0"/>
          <w:sz w:val="28"/>
          <w:szCs w:val="36"/>
          <w:lang w:val="en-US" w:eastAsia="zh-CN"/>
        </w:rPr>
      </w:pPr>
      <w:r>
        <w:rPr>
          <w:rFonts w:hint="eastAsia"/>
          <w:b w:val="0"/>
          <w:bCs w:val="0"/>
          <w:sz w:val="28"/>
          <w:szCs w:val="36"/>
          <w:lang w:val="en-US" w:eastAsia="zh-CN"/>
        </w:rPr>
        <w:t>GBT 21762标准包含金属系统和非金属系统及复合系统，本标准限于金属系统。GBT 21762标准根据材质不同有防腐分类，本标准中的防腐分类参照国标，结合实际核电项目和实际生产、制作经验来划分防腐等级。GBT 21762标准机械性能给出的试验为两个极限，分别为最低和最高温度的试验，而本标准中电缆桥架的常温使用载荷是产品最基本的型式必检项目，本标准完善了此要求。GBT 21762标准未涉及抗震内容，本标准新增抗震内容。</w:t>
      </w:r>
    </w:p>
    <w:p>
      <w:pPr>
        <w:numPr>
          <w:ilvl w:val="0"/>
          <w:numId w:val="0"/>
        </w:numPr>
        <w:ind w:firstLine="560" w:firstLineChars="200"/>
        <w:jc w:val="left"/>
        <w:rPr>
          <w:rFonts w:hint="default"/>
          <w:b w:val="0"/>
          <w:bCs w:val="0"/>
          <w:sz w:val="28"/>
          <w:szCs w:val="36"/>
          <w:lang w:val="en-US" w:eastAsia="zh-CN"/>
        </w:rPr>
      </w:pPr>
      <w:r>
        <w:rPr>
          <w:rFonts w:hint="eastAsia"/>
          <w:b w:val="0"/>
          <w:bCs w:val="0"/>
          <w:sz w:val="28"/>
          <w:szCs w:val="36"/>
          <w:lang w:val="en-US" w:eastAsia="zh-CN"/>
        </w:rPr>
        <w:t>本标准型式试验和抗震试验检测在国内均有成熟检测机构，所以本标准的实施所需技术条件是成熟的，建议按照正常流程进行发布和实施。</w:t>
      </w:r>
    </w:p>
    <w:p>
      <w:pPr>
        <w:numPr>
          <w:ilvl w:val="0"/>
          <w:numId w:val="3"/>
        </w:numPr>
        <w:ind w:left="0" w:leftChars="0" w:firstLine="562" w:firstLineChars="200"/>
        <w:jc w:val="left"/>
        <w:rPr>
          <w:rFonts w:hint="default"/>
          <w:b/>
          <w:bCs/>
          <w:color w:val="auto"/>
          <w:sz w:val="28"/>
          <w:szCs w:val="36"/>
          <w:lang w:val="en-US" w:eastAsia="zh-CN"/>
        </w:rPr>
      </w:pPr>
      <w:r>
        <w:rPr>
          <w:rFonts w:hint="eastAsia"/>
          <w:b/>
          <w:bCs/>
          <w:color w:val="auto"/>
          <w:sz w:val="28"/>
          <w:szCs w:val="36"/>
          <w:lang w:val="en-US" w:eastAsia="zh-CN"/>
        </w:rPr>
        <w:t>与现行的法律、法规和强制性国家标准的关系</w:t>
      </w:r>
    </w:p>
    <w:p>
      <w:pPr>
        <w:numPr>
          <w:ilvl w:val="0"/>
          <w:numId w:val="0"/>
        </w:numPr>
        <w:ind w:leftChars="200" w:firstLine="560" w:firstLineChars="200"/>
        <w:jc w:val="left"/>
        <w:rPr>
          <w:rFonts w:hint="eastAsia"/>
          <w:b w:val="0"/>
          <w:bCs w:val="0"/>
          <w:sz w:val="28"/>
          <w:szCs w:val="36"/>
          <w:lang w:val="en-US" w:eastAsia="zh-CN"/>
        </w:rPr>
      </w:pPr>
      <w:r>
        <w:rPr>
          <w:rFonts w:hint="eastAsia"/>
          <w:b w:val="0"/>
          <w:bCs w:val="0"/>
          <w:sz w:val="28"/>
          <w:szCs w:val="36"/>
          <w:lang w:val="en-US" w:eastAsia="zh-CN"/>
        </w:rPr>
        <w:t>本标准为核电电缆支撑系统，是在抗震环境下能安全支撑电缆，维持正常工作，保持其完整性，履行其相关的安全功能的标准，标准贯彻实施以宣贯培训为先导，通过对生产企业、检验机构相关人员的培训提高对本标准的认识和熟悉程度，并跟踪宣贯过程中出现的认识偏差和误区进行针对性的改进。标准实施后，相关部门应对抗震类电缆桥架进行检查，并督促其符合新标准要求。</w:t>
      </w:r>
    </w:p>
    <w:p>
      <w:pPr>
        <w:numPr>
          <w:ilvl w:val="0"/>
          <w:numId w:val="3"/>
        </w:numPr>
        <w:ind w:left="0" w:leftChars="0" w:firstLine="562" w:firstLineChars="200"/>
        <w:jc w:val="left"/>
        <w:rPr>
          <w:rFonts w:hint="default"/>
          <w:b/>
          <w:bCs/>
          <w:sz w:val="28"/>
          <w:szCs w:val="36"/>
          <w:lang w:val="en-US" w:eastAsia="zh-CN"/>
        </w:rPr>
      </w:pPr>
      <w:r>
        <w:rPr>
          <w:rFonts w:hint="eastAsia"/>
          <w:b/>
          <w:bCs/>
          <w:sz w:val="28"/>
          <w:szCs w:val="36"/>
          <w:lang w:val="en-US" w:eastAsia="zh-CN"/>
        </w:rPr>
        <w:t>涉及专利的有关说明</w:t>
      </w:r>
    </w:p>
    <w:p>
      <w:pPr>
        <w:numPr>
          <w:ilvl w:val="0"/>
          <w:numId w:val="0"/>
        </w:numPr>
        <w:ind w:leftChars="200" w:firstLine="560"/>
        <w:jc w:val="left"/>
        <w:rPr>
          <w:rFonts w:hint="eastAsia"/>
          <w:b w:val="0"/>
          <w:bCs w:val="0"/>
          <w:sz w:val="28"/>
          <w:szCs w:val="36"/>
          <w:lang w:val="en-US" w:eastAsia="zh-CN"/>
        </w:rPr>
      </w:pPr>
      <w:r>
        <w:rPr>
          <w:rFonts w:hint="eastAsia"/>
          <w:b w:val="0"/>
          <w:bCs w:val="0"/>
          <w:sz w:val="28"/>
          <w:szCs w:val="36"/>
          <w:lang w:val="en-US" w:eastAsia="zh-CN"/>
        </w:rPr>
        <w:t>本标准涉及与上海核工院共同申报的新型实用专利 ——“高抗震梯式电缆桥架”，专利号“201620540574.2”，此专利已得到设计院的同意，将此专利信息披露。</w:t>
      </w:r>
    </w:p>
    <w:p>
      <w:pPr>
        <w:numPr>
          <w:ilvl w:val="0"/>
          <w:numId w:val="3"/>
        </w:numPr>
        <w:ind w:left="0" w:leftChars="0" w:firstLine="562" w:firstLineChars="200"/>
        <w:jc w:val="left"/>
        <w:rPr>
          <w:rFonts w:hint="default"/>
          <w:b/>
          <w:bCs/>
          <w:sz w:val="28"/>
          <w:szCs w:val="36"/>
          <w:lang w:val="en-US" w:eastAsia="zh-CN"/>
        </w:rPr>
      </w:pPr>
      <w:r>
        <w:rPr>
          <w:rFonts w:hint="eastAsia"/>
          <w:b/>
          <w:bCs/>
          <w:sz w:val="28"/>
          <w:szCs w:val="36"/>
          <w:lang w:val="en-US" w:eastAsia="zh-CN"/>
        </w:rPr>
        <w:t>其他应予说明的事项</w:t>
      </w:r>
    </w:p>
    <w:p>
      <w:pPr>
        <w:numPr>
          <w:ilvl w:val="0"/>
          <w:numId w:val="0"/>
        </w:numPr>
        <w:ind w:leftChars="200" w:firstLine="560"/>
        <w:jc w:val="left"/>
        <w:rPr>
          <w:rFonts w:hint="eastAsia"/>
          <w:b w:val="0"/>
          <w:bCs w:val="0"/>
          <w:sz w:val="28"/>
          <w:szCs w:val="36"/>
          <w:lang w:val="en-US" w:eastAsia="zh-CN"/>
        </w:rPr>
      </w:pPr>
      <w:r>
        <w:rPr>
          <w:rFonts w:hint="eastAsia"/>
          <w:b w:val="0"/>
          <w:bCs w:val="0"/>
          <w:sz w:val="28"/>
          <w:szCs w:val="36"/>
          <w:lang w:val="en-US" w:eastAsia="zh-CN"/>
        </w:rPr>
        <w:t>无</w:t>
      </w:r>
    </w:p>
    <w:p>
      <w:pPr>
        <w:numPr>
          <w:ilvl w:val="0"/>
          <w:numId w:val="0"/>
        </w:numPr>
        <w:ind w:leftChars="200" w:firstLine="560"/>
        <w:jc w:val="left"/>
        <w:rPr>
          <w:rFonts w:hint="default"/>
          <w:b/>
          <w:bCs/>
          <w:sz w:val="28"/>
          <w:szCs w:val="36"/>
          <w:lang w:val="en-US" w:eastAsia="zh-CN"/>
        </w:rPr>
      </w:pPr>
    </w:p>
    <w:p>
      <w:pPr>
        <w:numPr>
          <w:ilvl w:val="0"/>
          <w:numId w:val="0"/>
        </w:numPr>
        <w:ind w:leftChars="200" w:firstLine="560"/>
        <w:jc w:val="left"/>
        <w:rPr>
          <w:rFonts w:hint="default"/>
          <w:b/>
          <w:bCs/>
          <w:sz w:val="28"/>
          <w:szCs w:val="36"/>
          <w:lang w:val="en-US" w:eastAsia="zh-CN"/>
        </w:rPr>
      </w:pPr>
    </w:p>
    <w:p>
      <w:pPr>
        <w:numPr>
          <w:ilvl w:val="0"/>
          <w:numId w:val="0"/>
        </w:numPr>
        <w:ind w:leftChars="200" w:firstLine="560"/>
        <w:jc w:val="left"/>
        <w:rPr>
          <w:rFonts w:hint="default"/>
          <w:b/>
          <w:bCs/>
          <w:sz w:val="28"/>
          <w:szCs w:val="36"/>
          <w:lang w:val="en-US" w:eastAsia="zh-CN"/>
        </w:rPr>
      </w:pPr>
    </w:p>
    <w:p>
      <w:pPr>
        <w:numPr>
          <w:ilvl w:val="0"/>
          <w:numId w:val="0"/>
        </w:numPr>
        <w:ind w:leftChars="200" w:firstLine="560"/>
        <w:jc w:val="left"/>
        <w:rPr>
          <w:rFonts w:hint="default"/>
          <w:b/>
          <w:bCs/>
          <w:sz w:val="28"/>
          <w:szCs w:val="36"/>
          <w:lang w:val="en-US" w:eastAsia="zh-CN"/>
        </w:rPr>
      </w:pPr>
    </w:p>
    <w:p>
      <w:pPr>
        <w:numPr>
          <w:ilvl w:val="0"/>
          <w:numId w:val="0"/>
        </w:numPr>
        <w:ind w:leftChars="200" w:firstLine="560"/>
        <w:jc w:val="left"/>
        <w:rPr>
          <w:rFonts w:hint="eastAsia"/>
          <w:b w:val="0"/>
          <w:bCs w:val="0"/>
          <w:sz w:val="28"/>
          <w:szCs w:val="36"/>
          <w:lang w:val="en-US" w:eastAsia="zh-CN"/>
        </w:rPr>
      </w:pPr>
      <w:r>
        <w:rPr>
          <w:rFonts w:hint="eastAsia"/>
          <w:b/>
          <w:bCs/>
          <w:sz w:val="28"/>
          <w:szCs w:val="36"/>
          <w:lang w:val="en-US" w:eastAsia="zh-CN"/>
        </w:rPr>
        <w:t xml:space="preserve">                                       </w:t>
      </w:r>
      <w:r>
        <w:rPr>
          <w:rFonts w:hint="eastAsia"/>
          <w:b w:val="0"/>
          <w:bCs w:val="0"/>
          <w:sz w:val="28"/>
          <w:szCs w:val="36"/>
          <w:lang w:val="en-US" w:eastAsia="zh-CN"/>
        </w:rPr>
        <w:t xml:space="preserve">标准起草工作组 </w:t>
      </w:r>
    </w:p>
    <w:p>
      <w:pPr>
        <w:numPr>
          <w:ilvl w:val="0"/>
          <w:numId w:val="0"/>
        </w:numPr>
        <w:ind w:leftChars="200" w:firstLine="560"/>
        <w:jc w:val="right"/>
        <w:rPr>
          <w:rFonts w:hint="default"/>
          <w:b w:val="0"/>
          <w:bCs w:val="0"/>
          <w:sz w:val="28"/>
          <w:szCs w:val="36"/>
          <w:lang w:val="en-US" w:eastAsia="zh-CN"/>
        </w:rPr>
      </w:pPr>
      <w:r>
        <w:rPr>
          <w:rFonts w:hint="eastAsia"/>
          <w:b w:val="0"/>
          <w:bCs w:val="0"/>
          <w:sz w:val="28"/>
          <w:szCs w:val="36"/>
          <w:lang w:val="en-US" w:eastAsia="zh-CN"/>
        </w:rPr>
        <w:t>2020年10月23日</w:t>
      </w:r>
    </w:p>
    <w:sectPr>
      <w:pgSz w:w="11906" w:h="16838"/>
      <w:pgMar w:top="1440" w:right="1486"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w:panose1 w:val="020F0502020204030204"/>
    <w:charset w:val="86"/>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45D4136"/>
    <w:multiLevelType w:val="multilevel"/>
    <w:tmpl w:val="945D4136"/>
    <w:lvl w:ilvl="0" w:tentative="0">
      <w:start w:val="2"/>
      <w:numFmt w:val="decimal"/>
      <w:lvlText w:val="%1."/>
      <w:lvlJc w:val="left"/>
      <w:pPr>
        <w:ind w:left="425" w:hanging="425"/>
      </w:pPr>
      <w:rPr>
        <w:rFonts w:hint="default"/>
      </w:rPr>
    </w:lvl>
    <w:lvl w:ilvl="1" w:tentative="0">
      <w:start w:val="1"/>
      <w:numFmt w:val="decimal"/>
      <w:lvlText w:val="%1.%2."/>
      <w:lvlJc w:val="left"/>
      <w:pPr>
        <w:ind w:left="567" w:hanging="567"/>
      </w:pPr>
      <w:rPr>
        <w:rFonts w:hint="default" w:ascii="宋体" w:hAnsi="宋体" w:eastAsia="宋体" w:cs="宋体"/>
      </w:rPr>
    </w:lvl>
    <w:lvl w:ilvl="2" w:tentative="0">
      <w:start w:val="1"/>
      <w:numFmt w:val="decimal"/>
      <w:lvlText w:val="%1.%2.%3."/>
      <w:lvlJc w:val="left"/>
      <w:pPr>
        <w:ind w:left="709" w:hanging="709"/>
      </w:pPr>
      <w:rPr>
        <w:rFonts w:hint="default" w:ascii="宋体" w:hAnsi="宋体" w:eastAsia="宋体" w:cs="宋体"/>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1">
    <w:nsid w:val="B2C0FA3B"/>
    <w:multiLevelType w:val="multilevel"/>
    <w:tmpl w:val="B2C0FA3B"/>
    <w:lvl w:ilvl="0" w:tentative="0">
      <w:start w:val="2"/>
      <w:numFmt w:val="decimal"/>
      <w:lvlText w:val="%1."/>
      <w:lvlJc w:val="left"/>
      <w:pPr>
        <w:ind w:left="425" w:hanging="425"/>
      </w:pPr>
      <w:rPr>
        <w:rFonts w:hint="default" w:ascii="宋体" w:hAnsi="宋体" w:eastAsia="宋体" w:cs="宋体"/>
      </w:rPr>
    </w:lvl>
    <w:lvl w:ilvl="1" w:tentative="0">
      <w:start w:val="1"/>
      <w:numFmt w:val="decimal"/>
      <w:lvlText w:val="%1.%2."/>
      <w:lvlJc w:val="left"/>
      <w:pPr>
        <w:ind w:left="567" w:hanging="567"/>
      </w:pPr>
      <w:rPr>
        <w:rFonts w:hint="default" w:ascii="宋体" w:hAnsi="宋体" w:eastAsia="宋体" w:cs="宋体"/>
      </w:rPr>
    </w:lvl>
    <w:lvl w:ilvl="2" w:tentative="0">
      <w:start w:val="1"/>
      <w:numFmt w:val="decimal"/>
      <w:lvlText w:val="%1.%2.%3."/>
      <w:lvlJc w:val="left"/>
      <w:pPr>
        <w:ind w:left="709" w:hanging="709"/>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2">
    <w:nsid w:val="B443070C"/>
    <w:multiLevelType w:val="multilevel"/>
    <w:tmpl w:val="B443070C"/>
    <w:lvl w:ilvl="0" w:tentative="0">
      <w:start w:val="2"/>
      <w:numFmt w:val="decimal"/>
      <w:lvlText w:val="%1."/>
      <w:lvlJc w:val="left"/>
      <w:pPr>
        <w:ind w:left="425" w:hanging="425"/>
      </w:pPr>
      <w:rPr>
        <w:rFonts w:hint="default" w:ascii="宋体" w:hAnsi="宋体" w:eastAsia="宋体" w:cs="宋体"/>
      </w:rPr>
    </w:lvl>
    <w:lvl w:ilvl="1" w:tentative="0">
      <w:start w:val="2"/>
      <w:numFmt w:val="decimal"/>
      <w:lvlText w:val="%1.%2."/>
      <w:lvlJc w:val="left"/>
      <w:pPr>
        <w:ind w:left="567" w:hanging="567"/>
      </w:pPr>
      <w:rPr>
        <w:rFonts w:hint="default" w:ascii="宋体" w:hAnsi="宋体" w:eastAsia="宋体" w:cs="宋体"/>
      </w:rPr>
    </w:lvl>
    <w:lvl w:ilvl="2" w:tentative="0">
      <w:start w:val="1"/>
      <w:numFmt w:val="decimal"/>
      <w:lvlText w:val="%1.%2.%3."/>
      <w:lvlJc w:val="left"/>
      <w:pPr>
        <w:ind w:left="709" w:hanging="709"/>
      </w:pPr>
      <w:rPr>
        <w:rFonts w:hint="default" w:ascii="宋体" w:hAnsi="宋体" w:eastAsia="宋体" w:cs="宋体"/>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3">
    <w:nsid w:val="C7A19077"/>
    <w:multiLevelType w:val="singleLevel"/>
    <w:tmpl w:val="C7A19077"/>
    <w:lvl w:ilvl="0" w:tentative="0">
      <w:start w:val="1"/>
      <w:numFmt w:val="decimal"/>
      <w:lvlText w:val="%1)"/>
      <w:lvlJc w:val="left"/>
      <w:pPr>
        <w:ind w:left="425" w:hanging="425"/>
      </w:pPr>
      <w:rPr>
        <w:rFonts w:hint="default"/>
      </w:rPr>
    </w:lvl>
  </w:abstractNum>
  <w:abstractNum w:abstractNumId="4">
    <w:nsid w:val="E049FADB"/>
    <w:multiLevelType w:val="singleLevel"/>
    <w:tmpl w:val="E049FADB"/>
    <w:lvl w:ilvl="0" w:tentative="0">
      <w:start w:val="1"/>
      <w:numFmt w:val="chineseCounting"/>
      <w:suff w:val="nothing"/>
      <w:lvlText w:val="%1、"/>
      <w:lvlJc w:val="left"/>
      <w:pPr>
        <w:ind w:left="0" w:firstLine="420"/>
      </w:pPr>
      <w:rPr>
        <w:rFonts w:hint="eastAsia"/>
      </w:rPr>
    </w:lvl>
  </w:abstractNum>
  <w:abstractNum w:abstractNumId="5">
    <w:nsid w:val="12074563"/>
    <w:multiLevelType w:val="multilevel"/>
    <w:tmpl w:val="12074563"/>
    <w:lvl w:ilvl="0" w:tentative="0">
      <w:start w:val="2"/>
      <w:numFmt w:val="decimal"/>
      <w:lvlText w:val="%1."/>
      <w:lvlJc w:val="left"/>
      <w:pPr>
        <w:ind w:left="425" w:hanging="425"/>
      </w:pPr>
      <w:rPr>
        <w:rFonts w:hint="default"/>
      </w:rPr>
    </w:lvl>
    <w:lvl w:ilvl="1" w:tentative="0">
      <w:start w:val="1"/>
      <w:numFmt w:val="decimal"/>
      <w:lvlText w:val="%1.%2."/>
      <w:lvlJc w:val="left"/>
      <w:pPr>
        <w:ind w:left="567" w:hanging="567"/>
      </w:pPr>
      <w:rPr>
        <w:rFonts w:hint="default" w:ascii="宋体" w:hAnsi="宋体" w:eastAsia="宋体" w:cs="宋体"/>
      </w:rPr>
    </w:lvl>
    <w:lvl w:ilvl="2" w:tentative="0">
      <w:start w:val="1"/>
      <w:numFmt w:val="decimal"/>
      <w:lvlText w:val="%1.%2.%3."/>
      <w:lvlJc w:val="left"/>
      <w:pPr>
        <w:ind w:left="709" w:hanging="709"/>
      </w:pPr>
      <w:rPr>
        <w:rFonts w:hint="default" w:ascii="宋体" w:hAnsi="宋体" w:eastAsia="宋体" w:cs="宋体"/>
      </w:rPr>
    </w:lvl>
    <w:lvl w:ilvl="3" w:tentative="0">
      <w:start w:val="1"/>
      <w:numFmt w:val="decimal"/>
      <w:lvlText w:val="%1.%2.%3.%4."/>
      <w:lvlJc w:val="left"/>
      <w:pPr>
        <w:ind w:left="850" w:hanging="850"/>
      </w:pPr>
      <w:rPr>
        <w:rFonts w:hint="default" w:ascii="宋体" w:hAnsi="宋体" w:eastAsia="宋体" w:cs="宋体"/>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6">
    <w:nsid w:val="20490386"/>
    <w:multiLevelType w:val="singleLevel"/>
    <w:tmpl w:val="20490386"/>
    <w:lvl w:ilvl="0" w:tentative="0">
      <w:start w:val="1"/>
      <w:numFmt w:val="lowerLetter"/>
      <w:lvlText w:val="%1."/>
      <w:lvlJc w:val="left"/>
      <w:pPr>
        <w:ind w:left="425" w:hanging="425"/>
      </w:pPr>
      <w:rPr>
        <w:rFonts w:hint="default"/>
      </w:rPr>
    </w:lvl>
  </w:abstractNum>
  <w:abstractNum w:abstractNumId="7">
    <w:nsid w:val="3FE962D7"/>
    <w:multiLevelType w:val="singleLevel"/>
    <w:tmpl w:val="3FE962D7"/>
    <w:lvl w:ilvl="0" w:tentative="0">
      <w:start w:val="1"/>
      <w:numFmt w:val="decimal"/>
      <w:lvlText w:val="%1."/>
      <w:lvlJc w:val="left"/>
      <w:pPr>
        <w:ind w:left="425" w:hanging="425"/>
      </w:pPr>
      <w:rPr>
        <w:rFonts w:hint="default"/>
      </w:rPr>
    </w:lvl>
  </w:abstractNum>
  <w:abstractNum w:abstractNumId="8">
    <w:nsid w:val="54BFC35C"/>
    <w:multiLevelType w:val="singleLevel"/>
    <w:tmpl w:val="54BFC35C"/>
    <w:lvl w:ilvl="0" w:tentative="0">
      <w:start w:val="1"/>
      <w:numFmt w:val="bullet"/>
      <w:lvlText w:val=""/>
      <w:lvlJc w:val="left"/>
      <w:pPr>
        <w:ind w:left="420" w:hanging="420"/>
      </w:pPr>
      <w:rPr>
        <w:rFonts w:hint="default" w:ascii="Wingdings" w:hAnsi="Wingdings"/>
      </w:rPr>
    </w:lvl>
  </w:abstractNum>
  <w:abstractNum w:abstractNumId="9">
    <w:nsid w:val="65B9105C"/>
    <w:multiLevelType w:val="singleLevel"/>
    <w:tmpl w:val="65B9105C"/>
    <w:lvl w:ilvl="0" w:tentative="0">
      <w:start w:val="1"/>
      <w:numFmt w:val="decimal"/>
      <w:suff w:val="nothing"/>
      <w:lvlText w:val="%1．"/>
      <w:lvlJc w:val="left"/>
      <w:pPr>
        <w:ind w:left="0" w:firstLine="400"/>
      </w:pPr>
      <w:rPr>
        <w:rFonts w:hint="default"/>
      </w:rPr>
    </w:lvl>
  </w:abstractNum>
  <w:num w:numId="1">
    <w:abstractNumId w:val="4"/>
  </w:num>
  <w:num w:numId="2">
    <w:abstractNumId w:val="7"/>
  </w:num>
  <w:num w:numId="3">
    <w:abstractNumId w:val="9"/>
  </w:num>
  <w:num w:numId="4">
    <w:abstractNumId w:val="3"/>
  </w:num>
  <w:num w:numId="5">
    <w:abstractNumId w:val="1"/>
  </w:num>
  <w:num w:numId="6">
    <w:abstractNumId w:val="0"/>
  </w:num>
  <w:num w:numId="7">
    <w:abstractNumId w:val="5"/>
  </w:num>
  <w:num w:numId="8">
    <w:abstractNumId w:val="6"/>
  </w:num>
  <w:num w:numId="9">
    <w:abstractNumId w:val="2"/>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5B0601C"/>
    <w:rsid w:val="010E1FA2"/>
    <w:rsid w:val="0336052E"/>
    <w:rsid w:val="04B52074"/>
    <w:rsid w:val="05604F64"/>
    <w:rsid w:val="09902E55"/>
    <w:rsid w:val="0F5970F0"/>
    <w:rsid w:val="14A74BAB"/>
    <w:rsid w:val="239761A4"/>
    <w:rsid w:val="2BD00ABA"/>
    <w:rsid w:val="2E335117"/>
    <w:rsid w:val="367E53F3"/>
    <w:rsid w:val="40071352"/>
    <w:rsid w:val="49392742"/>
    <w:rsid w:val="4AAC4CA6"/>
    <w:rsid w:val="4B9B45C4"/>
    <w:rsid w:val="595E17A4"/>
    <w:rsid w:val="5C222B34"/>
    <w:rsid w:val="5D615B66"/>
    <w:rsid w:val="5F1E4E8B"/>
    <w:rsid w:val="61586BD1"/>
    <w:rsid w:val="64536127"/>
    <w:rsid w:val="65B0601C"/>
    <w:rsid w:val="6D552760"/>
    <w:rsid w:val="73CB3DE8"/>
    <w:rsid w:val="744A44D0"/>
    <w:rsid w:val="769626DE"/>
    <w:rsid w:val="7E350DA3"/>
    <w:rsid w:val="7FA943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paragraph" w:customStyle="1" w:styleId="4">
    <w:name w:val="Body text|1"/>
    <w:basedOn w:val="1"/>
    <w:qFormat/>
    <w:uiPriority w:val="0"/>
    <w:pPr>
      <w:widowControl w:val="0"/>
      <w:shd w:val="clear" w:color="auto" w:fill="auto"/>
      <w:spacing w:line="319" w:lineRule="auto"/>
      <w:ind w:firstLine="400"/>
    </w:pPr>
    <w:rPr>
      <w:rFonts w:ascii="宋体" w:hAnsi="宋体" w:eastAsia="宋体" w:cs="宋体"/>
      <w:sz w:val="20"/>
      <w:szCs w:val="20"/>
      <w:u w:val="none"/>
      <w:shd w:val="clear" w:color="auto" w:fill="auto"/>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Office_11.1.0.10069_F1E327BC-269C-435d-A152-05C5408002CA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2020-10-23T00:58:00Z</dcterms:created>
  <dc:creator>fly</dc:creator>
  <cp:lastModifiedBy>fly</cp:lastModifiedBy>
  <dcterms:modified xsi:type="dcterms:W3CDTF">2020-10-26T02:44:39Z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2052-11.1.0.10069</vt:lpwstr>
  </property>
</Properties>
</file>